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F8" w:rsidRPr="00194D81" w:rsidRDefault="001653F8" w:rsidP="00A4266D">
      <w:pPr>
        <w:spacing w:line="240" w:lineRule="auto"/>
        <w:ind w:left="-284" w:right="-93"/>
        <w:jc w:val="both"/>
        <w:rPr>
          <w:rFonts w:ascii="Arial" w:hAnsi="Arial" w:cs="Arial"/>
          <w:sz w:val="24"/>
          <w:szCs w:val="24"/>
        </w:rPr>
      </w:pPr>
      <w:r w:rsidRPr="00194D81">
        <w:rPr>
          <w:rFonts w:ascii="Arial" w:hAnsi="Arial" w:cs="Arial"/>
          <w:sz w:val="24"/>
          <w:szCs w:val="24"/>
        </w:rPr>
        <w:t xml:space="preserve">El Secretario General de Acuerdos del Tribunal Electoral del Estado de Aguascalientes, </w:t>
      </w:r>
      <w:r w:rsidRPr="00194D81">
        <w:rPr>
          <w:rFonts w:ascii="Arial" w:hAnsi="Arial" w:cs="Arial"/>
          <w:b/>
          <w:sz w:val="24"/>
          <w:szCs w:val="24"/>
        </w:rPr>
        <w:t>CERTIFICA Y HACE CONSTAR</w:t>
      </w:r>
      <w:r w:rsidRPr="00194D81">
        <w:rPr>
          <w:rFonts w:ascii="Arial" w:hAnsi="Arial" w:cs="Arial"/>
          <w:sz w:val="24"/>
          <w:szCs w:val="24"/>
        </w:rPr>
        <w:t xml:space="preserve"> que el día de hoy, trece de marzo de dos mil diecinueve, </w:t>
      </w:r>
      <w:r w:rsidR="00A4266D" w:rsidRPr="00194D81">
        <w:rPr>
          <w:rFonts w:ascii="Arial" w:hAnsi="Arial" w:cs="Arial"/>
          <w:sz w:val="24"/>
          <w:szCs w:val="24"/>
        </w:rPr>
        <w:t xml:space="preserve">en los estrados electrónicos de la Sala Regional Monterrey del Tribunal Electoral del Poder Judicial de la Federación, </w:t>
      </w:r>
      <w:r w:rsidRPr="00194D81">
        <w:rPr>
          <w:rFonts w:ascii="Arial" w:hAnsi="Arial" w:cs="Arial"/>
          <w:sz w:val="24"/>
          <w:szCs w:val="24"/>
        </w:rPr>
        <w:t xml:space="preserve">se publicaron los acuerdos de reencauzamiento a la instancia </w:t>
      </w:r>
      <w:proofErr w:type="spellStart"/>
      <w:r w:rsidRPr="00194D81">
        <w:rPr>
          <w:rFonts w:ascii="Arial" w:hAnsi="Arial" w:cs="Arial"/>
          <w:sz w:val="24"/>
          <w:szCs w:val="24"/>
        </w:rPr>
        <w:t>intrapartidista</w:t>
      </w:r>
      <w:proofErr w:type="spellEnd"/>
      <w:r w:rsidRPr="00194D81">
        <w:rPr>
          <w:rFonts w:ascii="Arial" w:hAnsi="Arial" w:cs="Arial"/>
          <w:sz w:val="24"/>
          <w:szCs w:val="24"/>
        </w:rPr>
        <w:t xml:space="preserve">, de los juicios para la protección de los derechos político-electorales del ciudadano SM-JDC-66/2019 y SM-JDC-67/2019, promovidos por David Alejandro de la Cruz Gutiérrez y Francisco Gabriel Arellano Espinosa, en contra del dictamen de cuatro de marzo de dos mil diecinueve, emitido por la Comisión Nacional de Elecciones del partido político MORENA, en el que designó a los aspirantes que contenderán a las candidaturas de MORENA para presidencias municipales, sindicaturas y regidurías en el proceso electoral 2018-2019, de lo que se anexa copia certificada. </w:t>
      </w:r>
      <w:r w:rsidRPr="00194D81">
        <w:rPr>
          <w:rFonts w:ascii="Arial" w:hAnsi="Arial" w:cs="Arial"/>
          <w:b/>
          <w:sz w:val="24"/>
          <w:szCs w:val="24"/>
        </w:rPr>
        <w:t>CONSTE</w:t>
      </w:r>
    </w:p>
    <w:p w:rsidR="001653F8" w:rsidRPr="00194D81" w:rsidRDefault="001653F8" w:rsidP="000F6EFE">
      <w:pPr>
        <w:spacing w:after="0" w:line="360" w:lineRule="auto"/>
        <w:ind w:left="708" w:firstLine="708"/>
        <w:jc w:val="both"/>
        <w:rPr>
          <w:rFonts w:ascii="Arial" w:eastAsia="Times New Roman" w:hAnsi="Arial" w:cs="Arial"/>
          <w:b/>
          <w:sz w:val="24"/>
          <w:szCs w:val="24"/>
          <w:lang w:val="es-ES_tradnl" w:eastAsia="es-ES"/>
        </w:rPr>
      </w:pPr>
    </w:p>
    <w:p w:rsidR="00A4266D" w:rsidRPr="00194D81" w:rsidRDefault="00A4266D" w:rsidP="000F6EFE">
      <w:pPr>
        <w:spacing w:after="0" w:line="360" w:lineRule="auto"/>
        <w:ind w:left="708" w:firstLine="708"/>
        <w:jc w:val="both"/>
        <w:rPr>
          <w:rFonts w:ascii="Arial" w:eastAsia="Times New Roman" w:hAnsi="Arial" w:cs="Arial"/>
          <w:b/>
          <w:sz w:val="24"/>
          <w:szCs w:val="24"/>
          <w:lang w:val="es-ES_tradnl" w:eastAsia="es-ES"/>
        </w:rPr>
      </w:pPr>
    </w:p>
    <w:p w:rsidR="000F6EFE" w:rsidRPr="00194D81" w:rsidRDefault="00D70EFD" w:rsidP="00A4266D">
      <w:pPr>
        <w:spacing w:after="0" w:line="240" w:lineRule="auto"/>
        <w:contextualSpacing/>
        <w:mirrorIndents/>
        <w:jc w:val="both"/>
        <w:rPr>
          <w:rFonts w:ascii="Arial" w:hAnsi="Arial" w:cs="Arial"/>
          <w:b/>
          <w:sz w:val="24"/>
          <w:szCs w:val="24"/>
        </w:rPr>
      </w:pPr>
      <w:r w:rsidRPr="00194D81">
        <w:rPr>
          <w:rFonts w:ascii="Arial" w:hAnsi="Arial" w:cs="Arial"/>
          <w:b/>
          <w:sz w:val="24"/>
          <w:szCs w:val="24"/>
        </w:rPr>
        <w:t xml:space="preserve">                     </w:t>
      </w:r>
      <w:bookmarkStart w:id="0" w:name="_Hlk499556802"/>
    </w:p>
    <w:tbl>
      <w:tblPr>
        <w:tblpPr w:leftFromText="141" w:rightFromText="141" w:vertAnchor="text" w:horzAnchor="margin" w:tblpXSpec="right" w:tblpY="-397"/>
        <w:tblOverlap w:val="never"/>
        <w:tblW w:w="0" w:type="auto"/>
        <w:tblLook w:val="01E0" w:firstRow="1" w:lastRow="1" w:firstColumn="1" w:lastColumn="1" w:noHBand="0" w:noVBand="0"/>
      </w:tblPr>
      <w:tblGrid>
        <w:gridCol w:w="4460"/>
      </w:tblGrid>
      <w:tr w:rsidR="00D70EFD" w:rsidRPr="00194D81" w:rsidTr="00F6286E">
        <w:trPr>
          <w:trHeight w:val="1850"/>
        </w:trPr>
        <w:tc>
          <w:tcPr>
            <w:tcW w:w="4460" w:type="dxa"/>
          </w:tcPr>
          <w:p w:rsidR="00D70EFD" w:rsidRPr="00194D81" w:rsidRDefault="00D70EFD" w:rsidP="00A4266D">
            <w:pPr>
              <w:spacing w:after="0" w:line="240" w:lineRule="auto"/>
              <w:jc w:val="both"/>
              <w:rPr>
                <w:rFonts w:ascii="Arial" w:eastAsia="Times New Roman" w:hAnsi="Arial" w:cs="Arial"/>
                <w:sz w:val="24"/>
                <w:szCs w:val="24"/>
                <w:lang w:val="es-ES_tradnl" w:eastAsia="es-ES"/>
              </w:rPr>
            </w:pPr>
            <w:r w:rsidRPr="00194D81">
              <w:rPr>
                <w:rFonts w:ascii="Arial" w:eastAsia="Times New Roman" w:hAnsi="Arial" w:cs="Arial"/>
                <w:b/>
                <w:sz w:val="24"/>
                <w:szCs w:val="24"/>
                <w:lang w:val="es-ES_tradnl" w:eastAsia="es-ES"/>
              </w:rPr>
              <w:t xml:space="preserve">Expediente: </w:t>
            </w:r>
            <w:r w:rsidRPr="00194D81">
              <w:rPr>
                <w:rFonts w:ascii="Arial" w:eastAsia="Times New Roman" w:hAnsi="Arial" w:cs="Arial"/>
                <w:sz w:val="24"/>
                <w:szCs w:val="24"/>
                <w:lang w:val="es-ES_tradnl" w:eastAsia="es-ES"/>
              </w:rPr>
              <w:t>TEEA-JDC-01</w:t>
            </w:r>
            <w:r w:rsidR="00516B90">
              <w:rPr>
                <w:rFonts w:ascii="Arial" w:eastAsia="Times New Roman" w:hAnsi="Arial" w:cs="Arial"/>
                <w:sz w:val="24"/>
                <w:szCs w:val="24"/>
                <w:lang w:val="es-ES_tradnl" w:eastAsia="es-ES"/>
              </w:rPr>
              <w:t>3</w:t>
            </w:r>
            <w:r w:rsidRPr="00194D81">
              <w:rPr>
                <w:rFonts w:ascii="Arial" w:eastAsia="Times New Roman" w:hAnsi="Arial" w:cs="Arial"/>
                <w:sz w:val="24"/>
                <w:szCs w:val="24"/>
                <w:lang w:val="es-ES_tradnl" w:eastAsia="es-ES"/>
              </w:rPr>
              <w:t>/2019</w:t>
            </w:r>
            <w:r w:rsidR="0037497F" w:rsidRPr="00194D81">
              <w:rPr>
                <w:rFonts w:ascii="Arial" w:eastAsia="Times New Roman" w:hAnsi="Arial" w:cs="Arial"/>
                <w:sz w:val="24"/>
                <w:szCs w:val="24"/>
                <w:lang w:val="es-ES_tradnl" w:eastAsia="es-ES"/>
              </w:rPr>
              <w:t>.</w:t>
            </w:r>
          </w:p>
          <w:p w:rsidR="00D70EFD" w:rsidRPr="00194D81" w:rsidRDefault="00D70EFD" w:rsidP="00A4266D">
            <w:pPr>
              <w:spacing w:after="0" w:line="240" w:lineRule="auto"/>
              <w:jc w:val="both"/>
              <w:rPr>
                <w:rFonts w:ascii="Arial" w:eastAsia="Times New Roman" w:hAnsi="Arial" w:cs="Arial"/>
                <w:color w:val="FF0000"/>
                <w:sz w:val="24"/>
                <w:szCs w:val="24"/>
                <w:lang w:val="es-ES_tradnl" w:eastAsia="es-ES"/>
              </w:rPr>
            </w:pPr>
            <w:r w:rsidRPr="00194D81">
              <w:rPr>
                <w:rFonts w:ascii="Arial" w:eastAsia="Times New Roman" w:hAnsi="Arial" w:cs="Arial"/>
                <w:b/>
                <w:sz w:val="24"/>
                <w:szCs w:val="24"/>
                <w:lang w:val="es-ES_tradnl" w:eastAsia="es-ES"/>
              </w:rPr>
              <w:t>Promovente:</w:t>
            </w:r>
            <w:r w:rsidRPr="00194D81">
              <w:rPr>
                <w:rFonts w:ascii="Arial" w:eastAsia="Times New Roman" w:hAnsi="Arial" w:cs="Arial"/>
                <w:sz w:val="24"/>
                <w:szCs w:val="24"/>
                <w:lang w:val="es-ES_tradnl" w:eastAsia="es-ES"/>
              </w:rPr>
              <w:t xml:space="preserve"> </w:t>
            </w:r>
            <w:r w:rsidR="00516B90" w:rsidRPr="00C80EE1">
              <w:rPr>
                <w:rFonts w:ascii="Arial" w:eastAsia="Times New Roman" w:hAnsi="Arial" w:cs="Arial"/>
                <w:sz w:val="24"/>
                <w:szCs w:val="24"/>
                <w:lang w:val="es-ES_tradnl" w:eastAsia="es-ES"/>
              </w:rPr>
              <w:t>Francisco Arturo Federico Ávila Anaya.</w:t>
            </w:r>
          </w:p>
          <w:p w:rsidR="00D70EFD" w:rsidRPr="00194D81" w:rsidRDefault="00D70EFD" w:rsidP="00A4266D">
            <w:pPr>
              <w:spacing w:after="0" w:line="240" w:lineRule="auto"/>
              <w:jc w:val="both"/>
              <w:rPr>
                <w:rFonts w:ascii="Arial" w:eastAsia="Times New Roman" w:hAnsi="Arial" w:cs="Arial"/>
                <w:sz w:val="24"/>
                <w:szCs w:val="24"/>
                <w:lang w:val="es-ES_tradnl" w:eastAsia="es-ES"/>
              </w:rPr>
            </w:pPr>
            <w:r w:rsidRPr="00194D81">
              <w:rPr>
                <w:rFonts w:ascii="Arial" w:eastAsia="Times New Roman" w:hAnsi="Arial" w:cs="Arial"/>
                <w:b/>
                <w:sz w:val="24"/>
                <w:szCs w:val="24"/>
                <w:lang w:val="es-ES_tradnl" w:eastAsia="es-ES"/>
              </w:rPr>
              <w:t>Autoridad Responsable:</w:t>
            </w:r>
            <w:r w:rsidRPr="00194D81">
              <w:rPr>
                <w:rFonts w:ascii="Arial" w:eastAsia="Times New Roman" w:hAnsi="Arial" w:cs="Arial"/>
                <w:sz w:val="24"/>
                <w:szCs w:val="24"/>
                <w:lang w:val="es-ES_tradnl" w:eastAsia="es-ES"/>
              </w:rPr>
              <w:t xml:space="preserve"> </w:t>
            </w:r>
            <w:r w:rsidR="00BB6379" w:rsidRPr="00194D81">
              <w:rPr>
                <w:rFonts w:ascii="Arial" w:eastAsia="Times New Roman" w:hAnsi="Arial" w:cs="Arial"/>
                <w:sz w:val="24"/>
                <w:szCs w:val="24"/>
                <w:lang w:val="es-ES_tradnl" w:eastAsia="es-ES"/>
              </w:rPr>
              <w:t>Comisión Nacional de Elecciones de MORENA.</w:t>
            </w:r>
            <w:r w:rsidR="006E26EE" w:rsidRPr="00194D81">
              <w:rPr>
                <w:rFonts w:ascii="Arial" w:eastAsia="Times New Roman" w:hAnsi="Arial" w:cs="Arial"/>
                <w:sz w:val="24"/>
                <w:szCs w:val="24"/>
                <w:lang w:val="es-ES_tradnl" w:eastAsia="es-ES"/>
              </w:rPr>
              <w:t xml:space="preserve"> </w:t>
            </w:r>
          </w:p>
          <w:p w:rsidR="00D70EFD" w:rsidRPr="00194D81" w:rsidRDefault="00D70EFD" w:rsidP="00A4266D">
            <w:pPr>
              <w:spacing w:after="0" w:line="240" w:lineRule="auto"/>
              <w:jc w:val="both"/>
              <w:rPr>
                <w:rFonts w:ascii="Arial" w:eastAsia="Times New Roman" w:hAnsi="Arial" w:cs="Arial"/>
                <w:sz w:val="24"/>
                <w:szCs w:val="24"/>
                <w:lang w:val="es-ES_tradnl" w:eastAsia="es-ES"/>
              </w:rPr>
            </w:pPr>
            <w:r w:rsidRPr="00194D81">
              <w:rPr>
                <w:rFonts w:ascii="Arial" w:eastAsia="Times New Roman" w:hAnsi="Arial" w:cs="Arial"/>
                <w:b/>
                <w:sz w:val="24"/>
                <w:szCs w:val="24"/>
                <w:lang w:val="es-ES_tradnl" w:eastAsia="es-ES"/>
              </w:rPr>
              <w:t>Magistrad</w:t>
            </w:r>
            <w:r w:rsidR="00BB6379" w:rsidRPr="00194D81">
              <w:rPr>
                <w:rFonts w:ascii="Arial" w:eastAsia="Times New Roman" w:hAnsi="Arial" w:cs="Arial"/>
                <w:b/>
                <w:sz w:val="24"/>
                <w:szCs w:val="24"/>
                <w:lang w:val="es-ES_tradnl" w:eastAsia="es-ES"/>
              </w:rPr>
              <w:t>o</w:t>
            </w:r>
            <w:r w:rsidRPr="00194D81">
              <w:rPr>
                <w:rFonts w:ascii="Arial" w:eastAsia="Times New Roman" w:hAnsi="Arial" w:cs="Arial"/>
                <w:b/>
                <w:sz w:val="24"/>
                <w:szCs w:val="24"/>
                <w:lang w:val="es-ES_tradnl" w:eastAsia="es-ES"/>
              </w:rPr>
              <w:t xml:space="preserve"> Ponente:</w:t>
            </w:r>
            <w:r w:rsidRPr="00194D81">
              <w:rPr>
                <w:rFonts w:ascii="Arial" w:eastAsia="Times New Roman" w:hAnsi="Arial" w:cs="Arial"/>
                <w:sz w:val="24"/>
                <w:szCs w:val="24"/>
                <w:lang w:val="es-ES_tradnl" w:eastAsia="es-ES"/>
              </w:rPr>
              <w:t xml:space="preserve"> </w:t>
            </w:r>
            <w:r w:rsidR="00BB6379" w:rsidRPr="00194D81">
              <w:rPr>
                <w:rFonts w:ascii="Arial" w:eastAsia="Times New Roman" w:hAnsi="Arial" w:cs="Arial"/>
                <w:sz w:val="24"/>
                <w:szCs w:val="24"/>
                <w:lang w:val="es-ES_tradnl" w:eastAsia="es-ES"/>
              </w:rPr>
              <w:t>Jorge Ramón Díaz de León Gutiérrez.</w:t>
            </w:r>
            <w:r w:rsidRPr="00194D81">
              <w:rPr>
                <w:rFonts w:ascii="Arial" w:eastAsia="Times New Roman" w:hAnsi="Arial" w:cs="Arial"/>
                <w:sz w:val="24"/>
                <w:szCs w:val="24"/>
                <w:lang w:val="es-ES_tradnl" w:eastAsia="es-ES"/>
              </w:rPr>
              <w:t xml:space="preserve"> </w:t>
            </w:r>
          </w:p>
          <w:p w:rsidR="00D70EFD" w:rsidRPr="00194D81" w:rsidRDefault="00D70EFD" w:rsidP="00A4266D">
            <w:pPr>
              <w:spacing w:after="0" w:line="240" w:lineRule="auto"/>
              <w:jc w:val="both"/>
              <w:rPr>
                <w:rFonts w:ascii="Arial" w:eastAsia="Times New Roman" w:hAnsi="Arial" w:cs="Arial"/>
                <w:sz w:val="24"/>
                <w:szCs w:val="24"/>
                <w:lang w:val="es-ES_tradnl" w:eastAsia="es-ES"/>
              </w:rPr>
            </w:pPr>
            <w:r w:rsidRPr="00194D81">
              <w:rPr>
                <w:rFonts w:ascii="Arial" w:eastAsia="Times New Roman" w:hAnsi="Arial" w:cs="Arial"/>
                <w:b/>
                <w:sz w:val="24"/>
                <w:szCs w:val="24"/>
                <w:lang w:val="es-ES_tradnl" w:eastAsia="es-ES"/>
              </w:rPr>
              <w:t>Secretaria de Estudio:</w:t>
            </w:r>
            <w:r w:rsidRPr="00194D81">
              <w:rPr>
                <w:rFonts w:ascii="Arial" w:eastAsia="Times New Roman" w:hAnsi="Arial" w:cs="Arial"/>
                <w:sz w:val="24"/>
                <w:szCs w:val="24"/>
                <w:lang w:val="es-ES_tradnl" w:eastAsia="es-ES"/>
              </w:rPr>
              <w:t xml:space="preserve"> </w:t>
            </w:r>
            <w:r w:rsidR="00BB6379" w:rsidRPr="00194D81">
              <w:rPr>
                <w:rFonts w:ascii="Arial" w:eastAsia="Times New Roman" w:hAnsi="Arial" w:cs="Arial"/>
                <w:sz w:val="24"/>
                <w:szCs w:val="24"/>
                <w:lang w:val="es-ES_tradnl" w:eastAsia="es-ES"/>
              </w:rPr>
              <w:t>Cindy Cristina Macías Avelar.</w:t>
            </w:r>
          </w:p>
          <w:p w:rsidR="00D70EFD" w:rsidRPr="00194D81" w:rsidRDefault="00D70EFD" w:rsidP="00A4266D">
            <w:pPr>
              <w:spacing w:after="0" w:line="240" w:lineRule="auto"/>
              <w:jc w:val="both"/>
              <w:rPr>
                <w:rFonts w:ascii="Arial" w:eastAsia="Times New Roman" w:hAnsi="Arial" w:cs="Arial"/>
                <w:sz w:val="24"/>
                <w:szCs w:val="24"/>
                <w:lang w:val="es-ES_tradnl" w:eastAsia="es-ES"/>
              </w:rPr>
            </w:pPr>
          </w:p>
        </w:tc>
      </w:tr>
    </w:tbl>
    <w:p w:rsidR="00D70EFD" w:rsidRPr="00194D81" w:rsidRDefault="00D70EFD" w:rsidP="00A4266D">
      <w:pPr>
        <w:spacing w:after="0" w:line="240" w:lineRule="auto"/>
        <w:ind w:left="3402"/>
        <w:contextualSpacing/>
        <w:mirrorIndents/>
        <w:jc w:val="both"/>
        <w:rPr>
          <w:rFonts w:ascii="Arial" w:hAnsi="Arial" w:cs="Arial"/>
          <w:b/>
          <w:sz w:val="24"/>
          <w:szCs w:val="24"/>
        </w:rPr>
      </w:pPr>
    </w:p>
    <w:p w:rsidR="00D70EFD" w:rsidRPr="00194D81" w:rsidRDefault="00D70EFD" w:rsidP="00A4266D">
      <w:pPr>
        <w:spacing w:after="0" w:line="240" w:lineRule="auto"/>
        <w:ind w:left="3402"/>
        <w:contextualSpacing/>
        <w:mirrorIndents/>
        <w:jc w:val="both"/>
        <w:rPr>
          <w:rFonts w:ascii="Arial" w:hAnsi="Arial" w:cs="Arial"/>
          <w:b/>
          <w:sz w:val="24"/>
          <w:szCs w:val="24"/>
        </w:rPr>
      </w:pPr>
    </w:p>
    <w:p w:rsidR="00D70EFD" w:rsidRPr="00194D81" w:rsidRDefault="00D70EFD" w:rsidP="00A4266D">
      <w:pPr>
        <w:spacing w:after="0" w:line="240" w:lineRule="auto"/>
        <w:ind w:left="3402"/>
        <w:contextualSpacing/>
        <w:mirrorIndents/>
        <w:jc w:val="both"/>
        <w:rPr>
          <w:rFonts w:ascii="Arial" w:hAnsi="Arial" w:cs="Arial"/>
          <w:b/>
          <w:sz w:val="24"/>
          <w:szCs w:val="24"/>
        </w:rPr>
      </w:pPr>
    </w:p>
    <w:p w:rsidR="00D70EFD" w:rsidRPr="00194D81" w:rsidRDefault="00D70EFD" w:rsidP="00A4266D">
      <w:pPr>
        <w:spacing w:after="0" w:line="240" w:lineRule="auto"/>
        <w:ind w:left="3402"/>
        <w:contextualSpacing/>
        <w:mirrorIndents/>
        <w:jc w:val="both"/>
        <w:rPr>
          <w:rFonts w:ascii="Arial" w:hAnsi="Arial" w:cs="Arial"/>
          <w:b/>
          <w:sz w:val="24"/>
          <w:szCs w:val="24"/>
        </w:rPr>
      </w:pPr>
    </w:p>
    <w:p w:rsidR="00D70EFD" w:rsidRPr="00194D81" w:rsidRDefault="00D70EFD" w:rsidP="00A4266D">
      <w:pPr>
        <w:spacing w:after="0" w:line="240" w:lineRule="auto"/>
        <w:ind w:left="3402"/>
        <w:contextualSpacing/>
        <w:mirrorIndents/>
        <w:jc w:val="both"/>
        <w:rPr>
          <w:rFonts w:ascii="Arial" w:hAnsi="Arial" w:cs="Arial"/>
          <w:b/>
          <w:sz w:val="24"/>
          <w:szCs w:val="24"/>
        </w:rPr>
      </w:pPr>
    </w:p>
    <w:p w:rsidR="00D70EFD" w:rsidRPr="00194D81" w:rsidRDefault="00D70EFD" w:rsidP="00A4266D">
      <w:pPr>
        <w:spacing w:after="0" w:line="240" w:lineRule="auto"/>
        <w:ind w:left="3402"/>
        <w:contextualSpacing/>
        <w:mirrorIndents/>
        <w:jc w:val="both"/>
        <w:rPr>
          <w:rFonts w:ascii="Arial" w:hAnsi="Arial" w:cs="Arial"/>
          <w:b/>
          <w:sz w:val="24"/>
          <w:szCs w:val="24"/>
        </w:rPr>
      </w:pPr>
    </w:p>
    <w:p w:rsidR="00D70EFD" w:rsidRPr="00194D81" w:rsidRDefault="00D70EFD" w:rsidP="00A4266D">
      <w:pPr>
        <w:pStyle w:val="NormalWeb"/>
        <w:spacing w:before="0" w:beforeAutospacing="0" w:after="0" w:afterAutospacing="0"/>
        <w:ind w:left="1134"/>
        <w:contextualSpacing/>
        <w:mirrorIndents/>
        <w:jc w:val="both"/>
        <w:rPr>
          <w:rFonts w:ascii="Arial" w:hAnsi="Arial" w:cs="Arial"/>
          <w:color w:val="000000"/>
        </w:rPr>
      </w:pPr>
      <w:bookmarkStart w:id="1" w:name="_Hlk499556789"/>
    </w:p>
    <w:p w:rsidR="00D70EFD" w:rsidRPr="00194D81" w:rsidRDefault="00D70EFD" w:rsidP="00BB6379">
      <w:pPr>
        <w:spacing w:line="360" w:lineRule="auto"/>
        <w:ind w:right="-93"/>
        <w:jc w:val="both"/>
        <w:rPr>
          <w:rFonts w:ascii="Arial" w:hAnsi="Arial" w:cs="Arial"/>
          <w:sz w:val="24"/>
          <w:szCs w:val="24"/>
        </w:rPr>
      </w:pPr>
    </w:p>
    <w:p w:rsidR="00BB6379" w:rsidRPr="00194D81" w:rsidRDefault="00BB6379" w:rsidP="00BB6379">
      <w:pPr>
        <w:spacing w:line="360" w:lineRule="auto"/>
        <w:ind w:right="-93"/>
        <w:jc w:val="both"/>
        <w:rPr>
          <w:rFonts w:ascii="Arial" w:hAnsi="Arial" w:cs="Arial"/>
          <w:sz w:val="24"/>
          <w:szCs w:val="24"/>
        </w:rPr>
      </w:pPr>
    </w:p>
    <w:p w:rsidR="00B95E0C" w:rsidRPr="00194D81" w:rsidRDefault="00D70EFD" w:rsidP="002D33EA">
      <w:pPr>
        <w:spacing w:line="360" w:lineRule="auto"/>
        <w:ind w:left="-284" w:right="-93"/>
        <w:rPr>
          <w:rFonts w:ascii="Arial" w:hAnsi="Arial" w:cs="Arial"/>
          <w:sz w:val="24"/>
          <w:szCs w:val="24"/>
        </w:rPr>
      </w:pPr>
      <w:r w:rsidRPr="00194D81">
        <w:rPr>
          <w:rFonts w:ascii="Arial" w:hAnsi="Arial" w:cs="Arial"/>
          <w:sz w:val="24"/>
          <w:szCs w:val="24"/>
        </w:rPr>
        <w:t xml:space="preserve">Aguascalientes, Aguascalientes, a </w:t>
      </w:r>
      <w:r w:rsidR="00BB6379" w:rsidRPr="00194D81">
        <w:rPr>
          <w:rFonts w:ascii="Arial" w:hAnsi="Arial" w:cs="Arial"/>
          <w:sz w:val="24"/>
          <w:szCs w:val="24"/>
        </w:rPr>
        <w:t>trece de marzo</w:t>
      </w:r>
      <w:r w:rsidRPr="00194D81">
        <w:rPr>
          <w:rFonts w:ascii="Arial" w:hAnsi="Arial" w:cs="Arial"/>
          <w:sz w:val="24"/>
          <w:szCs w:val="24"/>
        </w:rPr>
        <w:t xml:space="preserve"> de dos mil diecinueve. </w:t>
      </w:r>
    </w:p>
    <w:p w:rsidR="00BB6379" w:rsidRPr="00194D81" w:rsidRDefault="002D33EA" w:rsidP="00B95E0C">
      <w:pPr>
        <w:spacing w:line="360" w:lineRule="auto"/>
        <w:ind w:left="-284" w:right="-93"/>
        <w:jc w:val="both"/>
        <w:rPr>
          <w:rFonts w:ascii="Arial" w:hAnsi="Arial" w:cs="Arial"/>
          <w:sz w:val="24"/>
          <w:szCs w:val="24"/>
        </w:rPr>
      </w:pPr>
      <w:r w:rsidRPr="00194D81">
        <w:rPr>
          <w:rFonts w:ascii="Arial" w:hAnsi="Arial" w:cs="Arial"/>
          <w:sz w:val="24"/>
          <w:szCs w:val="24"/>
          <w:lang w:val="es-ES_tradnl"/>
        </w:rPr>
        <w:t>Vista la certificación que antecede</w:t>
      </w:r>
      <w:r w:rsidR="00A4266D" w:rsidRPr="00194D81">
        <w:rPr>
          <w:rFonts w:ascii="Arial" w:hAnsi="Arial" w:cs="Arial"/>
          <w:sz w:val="24"/>
          <w:szCs w:val="24"/>
          <w:lang w:val="es-ES_tradnl"/>
        </w:rPr>
        <w:t>,</w:t>
      </w:r>
      <w:r w:rsidRPr="00194D81">
        <w:rPr>
          <w:rFonts w:ascii="Arial" w:hAnsi="Arial" w:cs="Arial"/>
          <w:sz w:val="24"/>
          <w:szCs w:val="24"/>
          <w:lang w:val="es-ES_tradnl"/>
        </w:rPr>
        <w:t xml:space="preserve"> c</w:t>
      </w:r>
      <w:r w:rsidR="00BB6379" w:rsidRPr="00194D81">
        <w:rPr>
          <w:rFonts w:ascii="Arial" w:hAnsi="Arial" w:cs="Arial"/>
          <w:sz w:val="24"/>
          <w:szCs w:val="24"/>
          <w:lang w:val="es-ES_tradnl"/>
        </w:rPr>
        <w:t xml:space="preserve">on fundamento en </w:t>
      </w:r>
      <w:r w:rsidR="00B95E0C" w:rsidRPr="00194D81">
        <w:rPr>
          <w:rFonts w:ascii="Arial" w:hAnsi="Arial" w:cs="Arial"/>
          <w:sz w:val="24"/>
          <w:szCs w:val="24"/>
          <w:lang w:val="es-ES_tradnl"/>
        </w:rPr>
        <w:t xml:space="preserve">el artículo 109 del </w:t>
      </w:r>
      <w:r w:rsidR="00BB6379" w:rsidRPr="00194D81">
        <w:rPr>
          <w:rFonts w:ascii="Arial" w:hAnsi="Arial" w:cs="Arial"/>
          <w:sz w:val="24"/>
          <w:szCs w:val="24"/>
          <w:lang w:val="es-ES_tradnl"/>
        </w:rPr>
        <w:t xml:space="preserve">Reglamento Interno del Tribunal Electoral del </w:t>
      </w:r>
      <w:r w:rsidR="00B95E0C" w:rsidRPr="00194D81">
        <w:rPr>
          <w:rFonts w:ascii="Arial" w:hAnsi="Arial" w:cs="Arial"/>
          <w:sz w:val="24"/>
          <w:szCs w:val="24"/>
          <w:lang w:val="es-ES_tradnl"/>
        </w:rPr>
        <w:t>Estado de Agu</w:t>
      </w:r>
      <w:r w:rsidRPr="00194D81">
        <w:rPr>
          <w:rFonts w:ascii="Arial" w:hAnsi="Arial" w:cs="Arial"/>
          <w:sz w:val="24"/>
          <w:szCs w:val="24"/>
          <w:lang w:val="es-ES_tradnl"/>
        </w:rPr>
        <w:t>a</w:t>
      </w:r>
      <w:r w:rsidR="00B95E0C" w:rsidRPr="00194D81">
        <w:rPr>
          <w:rFonts w:ascii="Arial" w:hAnsi="Arial" w:cs="Arial"/>
          <w:sz w:val="24"/>
          <w:szCs w:val="24"/>
          <w:lang w:val="es-ES_tradnl"/>
        </w:rPr>
        <w:t xml:space="preserve">scalientes, se </w:t>
      </w:r>
      <w:r w:rsidR="00BB6379" w:rsidRPr="00194D81">
        <w:rPr>
          <w:rFonts w:ascii="Arial" w:hAnsi="Arial" w:cs="Arial"/>
          <w:b/>
          <w:sz w:val="24"/>
          <w:szCs w:val="24"/>
          <w:lang w:val="es-ES_tradnl"/>
        </w:rPr>
        <w:t>ACUERDA:</w:t>
      </w:r>
    </w:p>
    <w:bookmarkEnd w:id="1"/>
    <w:p w:rsidR="00A4266D" w:rsidRPr="00194D81" w:rsidRDefault="002B2D5E" w:rsidP="00A4266D">
      <w:pPr>
        <w:pStyle w:val="NormalWeb"/>
        <w:numPr>
          <w:ilvl w:val="0"/>
          <w:numId w:val="1"/>
        </w:numPr>
        <w:tabs>
          <w:tab w:val="left" w:pos="284"/>
        </w:tabs>
        <w:spacing w:line="360" w:lineRule="auto"/>
        <w:ind w:left="-284" w:firstLine="0"/>
        <w:contextualSpacing/>
        <w:mirrorIndents/>
        <w:jc w:val="both"/>
        <w:rPr>
          <w:rFonts w:ascii="Arial" w:hAnsi="Arial" w:cs="Arial"/>
        </w:rPr>
      </w:pPr>
      <w:r w:rsidRPr="00194D81">
        <w:rPr>
          <w:rFonts w:ascii="Arial" w:hAnsi="Arial" w:cs="Arial"/>
          <w:b/>
        </w:rPr>
        <w:t>IMPROCEDENCIA DE LA VÍA PER SALTUM</w:t>
      </w:r>
      <w:r w:rsidR="00D70EFD" w:rsidRPr="00194D81">
        <w:rPr>
          <w:rFonts w:ascii="Arial" w:hAnsi="Arial" w:cs="Arial"/>
        </w:rPr>
        <w:t xml:space="preserve">. </w:t>
      </w:r>
      <w:r w:rsidR="00A20100" w:rsidRPr="00194D81">
        <w:rPr>
          <w:rFonts w:ascii="Arial" w:hAnsi="Arial" w:cs="Arial"/>
        </w:rPr>
        <w:t xml:space="preserve">Este Tribunal considera que no procede el conocimiento en vía </w:t>
      </w:r>
      <w:r w:rsidR="00A20100" w:rsidRPr="00194D81">
        <w:rPr>
          <w:rFonts w:ascii="Arial" w:hAnsi="Arial" w:cs="Arial"/>
          <w:i/>
        </w:rPr>
        <w:t>per</w:t>
      </w:r>
      <w:r w:rsidR="000B2EEB" w:rsidRPr="00194D81">
        <w:rPr>
          <w:rFonts w:ascii="Arial" w:hAnsi="Arial" w:cs="Arial"/>
          <w:i/>
        </w:rPr>
        <w:t xml:space="preserve"> </w:t>
      </w:r>
      <w:proofErr w:type="spellStart"/>
      <w:r w:rsidR="00A20100" w:rsidRPr="00194D81">
        <w:rPr>
          <w:rFonts w:ascii="Arial" w:hAnsi="Arial" w:cs="Arial"/>
          <w:i/>
        </w:rPr>
        <w:t>saltum</w:t>
      </w:r>
      <w:proofErr w:type="spellEnd"/>
      <w:r w:rsidR="002D33EA" w:rsidRPr="00194D81">
        <w:rPr>
          <w:rFonts w:ascii="Arial" w:hAnsi="Arial" w:cs="Arial"/>
        </w:rPr>
        <w:t xml:space="preserve">, </w:t>
      </w:r>
      <w:r w:rsidR="000B2EEB" w:rsidRPr="00194D81">
        <w:rPr>
          <w:rFonts w:ascii="Arial" w:hAnsi="Arial" w:cs="Arial"/>
        </w:rPr>
        <w:t xml:space="preserve">debido a que las razones aducidas por el promovente son insuficientes para que este órgano jurisdiccional </w:t>
      </w:r>
      <w:r w:rsidR="00FD4F38" w:rsidRPr="00194D81">
        <w:rPr>
          <w:rFonts w:ascii="Arial" w:hAnsi="Arial" w:cs="Arial"/>
        </w:rPr>
        <w:t xml:space="preserve">conozca del presente juicio. Lo anterior, </w:t>
      </w:r>
      <w:r w:rsidR="002D33EA" w:rsidRPr="00194D81">
        <w:rPr>
          <w:rFonts w:ascii="Arial" w:hAnsi="Arial" w:cs="Arial"/>
        </w:rPr>
        <w:t xml:space="preserve">toda vez que </w:t>
      </w:r>
      <w:r w:rsidR="00A4266D" w:rsidRPr="00194D81">
        <w:rPr>
          <w:rFonts w:ascii="Arial" w:hAnsi="Arial" w:cs="Arial"/>
        </w:rPr>
        <w:t xml:space="preserve">se </w:t>
      </w:r>
      <w:r w:rsidR="002D33EA" w:rsidRPr="00194D81">
        <w:rPr>
          <w:rFonts w:ascii="Arial" w:hAnsi="Arial" w:cs="Arial"/>
        </w:rPr>
        <w:t xml:space="preserve">debió agotar el medio de impugnación </w:t>
      </w:r>
      <w:proofErr w:type="spellStart"/>
      <w:r w:rsidR="002D33EA" w:rsidRPr="00194D81">
        <w:rPr>
          <w:rFonts w:ascii="Arial" w:hAnsi="Arial" w:cs="Arial"/>
        </w:rPr>
        <w:t>intrapartidista</w:t>
      </w:r>
      <w:proofErr w:type="spellEnd"/>
      <w:r w:rsidR="002D33EA" w:rsidRPr="00194D81">
        <w:rPr>
          <w:rFonts w:ascii="Arial" w:hAnsi="Arial" w:cs="Arial"/>
        </w:rPr>
        <w:t xml:space="preserve"> y no acudir de manera directa ante este Tribunal Electoral, pues</w:t>
      </w:r>
      <w:r w:rsidR="002D33EA" w:rsidRPr="00194D81">
        <w:rPr>
          <w:rFonts w:ascii="Arial" w:hAnsi="Arial" w:cs="Arial"/>
          <w:lang w:val="es-ES_tradnl"/>
        </w:rPr>
        <w:t xml:space="preserve"> al hacerlo </w:t>
      </w:r>
      <w:r w:rsidR="00FD4F38" w:rsidRPr="00194D81">
        <w:rPr>
          <w:rFonts w:ascii="Arial" w:hAnsi="Arial" w:cs="Arial"/>
          <w:lang w:val="es-ES_tradnl"/>
        </w:rPr>
        <w:t xml:space="preserve">se transgrede </w:t>
      </w:r>
      <w:r w:rsidR="002D33EA" w:rsidRPr="00194D81">
        <w:rPr>
          <w:rFonts w:ascii="Arial" w:hAnsi="Arial" w:cs="Arial"/>
          <w:lang w:val="es-ES_tradnl"/>
        </w:rPr>
        <w:t>el principio de definitividad</w:t>
      </w:r>
      <w:r w:rsidR="002E403C">
        <w:rPr>
          <w:rStyle w:val="Refdenotaalpie"/>
          <w:rFonts w:ascii="Arial" w:hAnsi="Arial" w:cs="Arial"/>
          <w:lang w:val="es-ES_tradnl"/>
        </w:rPr>
        <w:footnoteReference w:id="1"/>
      </w:r>
      <w:r w:rsidR="002D33EA" w:rsidRPr="00194D81">
        <w:rPr>
          <w:rFonts w:ascii="Arial" w:hAnsi="Arial" w:cs="Arial"/>
          <w:lang w:val="es-ES_tradnl"/>
        </w:rPr>
        <w:t>, el cual es requisito de procedencia de los medios de impugnación, según lo establecen los artículos 82 y 83 de la ley de la materia</w:t>
      </w:r>
      <w:r w:rsidR="00A2236E" w:rsidRPr="00194D81">
        <w:rPr>
          <w:rFonts w:ascii="Arial" w:hAnsi="Arial" w:cs="Arial"/>
          <w:lang w:val="es-ES_tradnl"/>
        </w:rPr>
        <w:t>.</w:t>
      </w:r>
    </w:p>
    <w:p w:rsidR="00A4266D" w:rsidRPr="00194D81" w:rsidRDefault="00A4266D" w:rsidP="00A4266D">
      <w:pPr>
        <w:pStyle w:val="NormalWeb"/>
        <w:tabs>
          <w:tab w:val="left" w:pos="284"/>
        </w:tabs>
        <w:spacing w:line="360" w:lineRule="auto"/>
        <w:ind w:left="-284"/>
        <w:contextualSpacing/>
        <w:mirrorIndents/>
        <w:jc w:val="both"/>
        <w:rPr>
          <w:rFonts w:ascii="Arial" w:hAnsi="Arial" w:cs="Arial"/>
          <w:b/>
        </w:rPr>
      </w:pPr>
    </w:p>
    <w:p w:rsidR="00CC4A1E" w:rsidRPr="00194D81" w:rsidRDefault="00A4266D" w:rsidP="0083556F">
      <w:pPr>
        <w:pStyle w:val="NormalWeb"/>
        <w:tabs>
          <w:tab w:val="left" w:pos="284"/>
        </w:tabs>
        <w:spacing w:line="360" w:lineRule="auto"/>
        <w:ind w:left="-284"/>
        <w:contextualSpacing/>
        <w:mirrorIndents/>
        <w:jc w:val="both"/>
        <w:rPr>
          <w:rFonts w:ascii="Arial" w:hAnsi="Arial" w:cs="Arial"/>
        </w:rPr>
      </w:pPr>
      <w:r w:rsidRPr="00194D81">
        <w:rPr>
          <w:rFonts w:ascii="Arial" w:hAnsi="Arial" w:cs="Arial"/>
        </w:rPr>
        <w:t>En efecto</w:t>
      </w:r>
      <w:r w:rsidR="00CC4A1E" w:rsidRPr="00194D81">
        <w:rPr>
          <w:rFonts w:ascii="Arial" w:hAnsi="Arial" w:cs="Arial"/>
        </w:rPr>
        <w:t xml:space="preserve">, se advierte que el </w:t>
      </w:r>
      <w:r w:rsidRPr="00194D81">
        <w:rPr>
          <w:rFonts w:ascii="Arial" w:hAnsi="Arial" w:cs="Arial"/>
        </w:rPr>
        <w:t xml:space="preserve">inconforme </w:t>
      </w:r>
      <w:r w:rsidR="00CC4A1E" w:rsidRPr="00194D81">
        <w:rPr>
          <w:rFonts w:ascii="Arial" w:hAnsi="Arial" w:cs="Arial"/>
        </w:rPr>
        <w:t xml:space="preserve">acude </w:t>
      </w:r>
      <w:r w:rsidR="00CC4A1E" w:rsidRPr="00194D81">
        <w:rPr>
          <w:rFonts w:ascii="Arial" w:hAnsi="Arial" w:cs="Arial"/>
          <w:lang w:val="es-ES_tradnl"/>
        </w:rPr>
        <w:t xml:space="preserve">en su carácter de </w:t>
      </w:r>
      <w:r w:rsidR="00FB074B">
        <w:rPr>
          <w:rFonts w:ascii="Arial" w:hAnsi="Arial" w:cs="Arial"/>
          <w:lang w:val="es-ES_tradnl"/>
        </w:rPr>
        <w:t xml:space="preserve">aspirante a una </w:t>
      </w:r>
      <w:proofErr w:type="spellStart"/>
      <w:r w:rsidR="00FB074B">
        <w:rPr>
          <w:rFonts w:ascii="Arial" w:hAnsi="Arial" w:cs="Arial"/>
          <w:lang w:val="es-ES_tradnl"/>
        </w:rPr>
        <w:t>pre-candidatura</w:t>
      </w:r>
      <w:proofErr w:type="spellEnd"/>
      <w:r w:rsidR="00CC4A1E" w:rsidRPr="00194D81">
        <w:rPr>
          <w:rFonts w:ascii="Arial" w:hAnsi="Arial" w:cs="Arial"/>
          <w:lang w:val="es-ES_tradnl"/>
        </w:rPr>
        <w:t>, a impugnar el dictamen de la Comisión Nacional de Elecciones, relativo</w:t>
      </w:r>
      <w:r w:rsidR="0083556F" w:rsidRPr="00194D81">
        <w:rPr>
          <w:rFonts w:ascii="Arial" w:hAnsi="Arial" w:cs="Arial"/>
          <w:lang w:val="es-ES_tradnl"/>
        </w:rPr>
        <w:t xml:space="preserve"> </w:t>
      </w:r>
      <w:r w:rsidR="00CC4A1E" w:rsidRPr="00194D81">
        <w:rPr>
          <w:rFonts w:ascii="Arial" w:hAnsi="Arial" w:cs="Arial"/>
          <w:lang w:val="es-ES_tradnl"/>
        </w:rPr>
        <w:t xml:space="preserve">al proceso interno de selección de candidatos/as para presidentes municipales del Estado de Aguascalientes para el Proceso Electoral 2018-2019, ya que considera que transgrede su derecho político-electoral de ser votado, al no considerarlo como candidato a la presidencia municipal de </w:t>
      </w:r>
      <w:r w:rsidR="00516B90">
        <w:rPr>
          <w:rFonts w:ascii="Arial" w:hAnsi="Arial" w:cs="Arial"/>
          <w:color w:val="FF0000"/>
          <w:lang w:val="es-ES_tradnl"/>
        </w:rPr>
        <w:t>Aguascalientes</w:t>
      </w:r>
      <w:r w:rsidR="00CC4A1E" w:rsidRPr="00194D81">
        <w:rPr>
          <w:rFonts w:ascii="Arial" w:hAnsi="Arial" w:cs="Arial"/>
          <w:lang w:val="es-ES_tradnl"/>
        </w:rPr>
        <w:t>, Aguascalientes.</w:t>
      </w:r>
    </w:p>
    <w:p w:rsidR="0083556F" w:rsidRPr="00194D81" w:rsidRDefault="00A4266D" w:rsidP="0083556F">
      <w:pPr>
        <w:spacing w:line="360" w:lineRule="auto"/>
        <w:ind w:right="-283"/>
        <w:jc w:val="both"/>
        <w:rPr>
          <w:rFonts w:ascii="Arial" w:hAnsi="Arial" w:cs="Arial"/>
          <w:sz w:val="24"/>
          <w:szCs w:val="24"/>
        </w:rPr>
      </w:pPr>
      <w:r w:rsidRPr="00194D81">
        <w:rPr>
          <w:rFonts w:ascii="Arial" w:hAnsi="Arial" w:cs="Arial"/>
          <w:sz w:val="24"/>
          <w:szCs w:val="24"/>
        </w:rPr>
        <w:t xml:space="preserve">Así, </w:t>
      </w:r>
      <w:r w:rsidR="00B71BF7" w:rsidRPr="00194D81">
        <w:rPr>
          <w:rFonts w:ascii="Arial" w:hAnsi="Arial" w:cs="Arial"/>
          <w:sz w:val="24"/>
          <w:szCs w:val="24"/>
        </w:rPr>
        <w:t>este</w:t>
      </w:r>
      <w:r w:rsidR="00DD0AB4" w:rsidRPr="00194D81">
        <w:rPr>
          <w:rFonts w:ascii="Arial" w:hAnsi="Arial" w:cs="Arial"/>
          <w:sz w:val="24"/>
          <w:szCs w:val="24"/>
        </w:rPr>
        <w:t xml:space="preserve"> Tribunal </w:t>
      </w:r>
      <w:r w:rsidR="00A5769E" w:rsidRPr="00194D81">
        <w:rPr>
          <w:rFonts w:ascii="Arial" w:hAnsi="Arial" w:cs="Arial"/>
          <w:sz w:val="24"/>
          <w:szCs w:val="24"/>
        </w:rPr>
        <w:t>determina</w:t>
      </w:r>
      <w:r w:rsidR="00DD0AB4" w:rsidRPr="00194D81">
        <w:rPr>
          <w:rFonts w:ascii="Arial" w:hAnsi="Arial" w:cs="Arial"/>
          <w:sz w:val="24"/>
          <w:szCs w:val="24"/>
        </w:rPr>
        <w:t xml:space="preserve"> que las razones expuestas por </w:t>
      </w:r>
      <w:r w:rsidRPr="00194D81">
        <w:rPr>
          <w:rFonts w:ascii="Arial" w:hAnsi="Arial" w:cs="Arial"/>
          <w:sz w:val="24"/>
          <w:szCs w:val="24"/>
        </w:rPr>
        <w:t xml:space="preserve">su parte </w:t>
      </w:r>
      <w:r w:rsidR="00DD0AB4" w:rsidRPr="00194D81">
        <w:rPr>
          <w:rFonts w:ascii="Arial" w:hAnsi="Arial" w:cs="Arial"/>
          <w:sz w:val="24"/>
          <w:szCs w:val="24"/>
        </w:rPr>
        <w:t xml:space="preserve">son insuficientes para justificar el conocimiento </w:t>
      </w:r>
      <w:r w:rsidR="00DD0AB4" w:rsidRPr="00194D81">
        <w:rPr>
          <w:rFonts w:ascii="Arial" w:hAnsi="Arial" w:cs="Arial"/>
          <w:i/>
          <w:sz w:val="24"/>
          <w:szCs w:val="24"/>
        </w:rPr>
        <w:t xml:space="preserve">per </w:t>
      </w:r>
      <w:proofErr w:type="spellStart"/>
      <w:r w:rsidR="00DD0AB4" w:rsidRPr="00194D81">
        <w:rPr>
          <w:rFonts w:ascii="Arial" w:hAnsi="Arial" w:cs="Arial"/>
          <w:i/>
          <w:sz w:val="24"/>
          <w:szCs w:val="24"/>
        </w:rPr>
        <w:t>saltum</w:t>
      </w:r>
      <w:proofErr w:type="spellEnd"/>
      <w:r w:rsidR="00DD0AB4" w:rsidRPr="00194D81">
        <w:rPr>
          <w:rFonts w:ascii="Arial" w:hAnsi="Arial" w:cs="Arial"/>
          <w:sz w:val="24"/>
          <w:szCs w:val="24"/>
        </w:rPr>
        <w:t xml:space="preserve"> de su impugnación, </w:t>
      </w:r>
      <w:r w:rsidR="00A5769E" w:rsidRPr="00194D81">
        <w:rPr>
          <w:rFonts w:ascii="Arial" w:hAnsi="Arial" w:cs="Arial"/>
          <w:sz w:val="24"/>
          <w:szCs w:val="24"/>
        </w:rPr>
        <w:t>debido a que existe</w:t>
      </w:r>
      <w:r w:rsidR="00DD0AB4" w:rsidRPr="00194D81">
        <w:rPr>
          <w:rFonts w:ascii="Arial" w:hAnsi="Arial" w:cs="Arial"/>
          <w:sz w:val="24"/>
          <w:szCs w:val="24"/>
        </w:rPr>
        <w:t xml:space="preserve"> un medio idóneo y eficaz al interior del partido político para garantizar el derecho que el </w:t>
      </w:r>
      <w:r w:rsidR="00A5769E" w:rsidRPr="00194D81">
        <w:rPr>
          <w:rFonts w:ascii="Arial" w:hAnsi="Arial" w:cs="Arial"/>
          <w:sz w:val="24"/>
          <w:szCs w:val="24"/>
        </w:rPr>
        <w:t xml:space="preserve">promovente considera </w:t>
      </w:r>
      <w:r w:rsidR="00DD0AB4" w:rsidRPr="00194D81">
        <w:rPr>
          <w:rFonts w:ascii="Arial" w:hAnsi="Arial" w:cs="Arial"/>
          <w:sz w:val="24"/>
          <w:szCs w:val="24"/>
        </w:rPr>
        <w:t>conculcado y su agotamiento no produce una merma considerable o la extinción de su pretensión.</w:t>
      </w:r>
    </w:p>
    <w:p w:rsidR="0083556F" w:rsidRPr="00194D81" w:rsidRDefault="00A4266D" w:rsidP="0083556F">
      <w:pPr>
        <w:spacing w:line="360" w:lineRule="auto"/>
        <w:ind w:right="-283"/>
        <w:jc w:val="both"/>
        <w:rPr>
          <w:rFonts w:ascii="Arial" w:hAnsi="Arial" w:cs="Arial"/>
          <w:sz w:val="24"/>
          <w:szCs w:val="24"/>
        </w:rPr>
      </w:pPr>
      <w:r w:rsidRPr="00194D81">
        <w:rPr>
          <w:rFonts w:ascii="Arial" w:hAnsi="Arial" w:cs="Arial"/>
          <w:sz w:val="24"/>
          <w:szCs w:val="24"/>
        </w:rPr>
        <w:t xml:space="preserve">Por tanto, se debe agotar </w:t>
      </w:r>
      <w:r w:rsidR="002D33EA" w:rsidRPr="00194D81">
        <w:rPr>
          <w:rFonts w:ascii="Arial" w:hAnsi="Arial" w:cs="Arial"/>
          <w:sz w:val="24"/>
          <w:szCs w:val="24"/>
        </w:rPr>
        <w:t xml:space="preserve">previamente la instancia </w:t>
      </w:r>
      <w:proofErr w:type="spellStart"/>
      <w:r w:rsidR="002D33EA" w:rsidRPr="00194D81">
        <w:rPr>
          <w:rFonts w:ascii="Arial" w:hAnsi="Arial" w:cs="Arial"/>
          <w:sz w:val="24"/>
          <w:szCs w:val="24"/>
        </w:rPr>
        <w:t>intrapartidista</w:t>
      </w:r>
      <w:proofErr w:type="spellEnd"/>
      <w:r w:rsidR="002D33EA" w:rsidRPr="00194D81">
        <w:rPr>
          <w:rFonts w:ascii="Arial" w:hAnsi="Arial" w:cs="Arial"/>
          <w:sz w:val="24"/>
          <w:szCs w:val="24"/>
        </w:rPr>
        <w:t xml:space="preserve"> a través del medio de impugnación que resulte procedente, esto es ante la Comisión Nacional de Honestidad y Justicia de MORENA, órgano interno encargado de resolver las controversias entre sus miembros y/o entre sus órganos</w:t>
      </w:r>
      <w:r w:rsidR="002D33EA" w:rsidRPr="00194D81">
        <w:rPr>
          <w:rStyle w:val="Refdenotaalpie"/>
          <w:rFonts w:ascii="Arial" w:hAnsi="Arial" w:cs="Arial"/>
          <w:sz w:val="24"/>
          <w:szCs w:val="24"/>
        </w:rPr>
        <w:footnoteReference w:id="2"/>
      </w:r>
      <w:r w:rsidR="002D33EA" w:rsidRPr="00194D81">
        <w:rPr>
          <w:rFonts w:ascii="Arial" w:hAnsi="Arial" w:cs="Arial"/>
          <w:sz w:val="24"/>
          <w:szCs w:val="24"/>
        </w:rPr>
        <w:t>.</w:t>
      </w:r>
    </w:p>
    <w:p w:rsidR="0083556F" w:rsidRPr="00194D81" w:rsidRDefault="002D33EA" w:rsidP="0083556F">
      <w:pPr>
        <w:spacing w:line="360" w:lineRule="auto"/>
        <w:ind w:right="-283"/>
        <w:jc w:val="both"/>
        <w:rPr>
          <w:rFonts w:ascii="Arial" w:hAnsi="Arial" w:cs="Arial"/>
          <w:sz w:val="24"/>
          <w:szCs w:val="24"/>
          <w:lang w:val="es-ES_tradnl"/>
        </w:rPr>
      </w:pPr>
      <w:r w:rsidRPr="00194D81">
        <w:rPr>
          <w:rFonts w:ascii="Arial" w:hAnsi="Arial" w:cs="Arial"/>
          <w:sz w:val="24"/>
          <w:szCs w:val="24"/>
        </w:rPr>
        <w:t xml:space="preserve">A través del </w:t>
      </w:r>
      <w:r w:rsidRPr="00194D81">
        <w:rPr>
          <w:rFonts w:ascii="Arial" w:hAnsi="Arial" w:cs="Arial"/>
          <w:sz w:val="24"/>
          <w:szCs w:val="24"/>
          <w:lang w:val="es-ES_tradnl"/>
        </w:rPr>
        <w:t>mecanismo interno de solución de conflictos, la parte actora está en posibilidad de obtener una resolución que garantice la protección de su derecho, lo cual, además, privilegia la autodeterminación y la auto organización de los partidos políticos para resolver sus diferencias internamente, de conformidad con</w:t>
      </w:r>
      <w:r w:rsidRPr="00194D81">
        <w:rPr>
          <w:rFonts w:ascii="Arial" w:hAnsi="Arial" w:cs="Arial"/>
          <w:sz w:val="24"/>
          <w:szCs w:val="24"/>
        </w:rPr>
        <w:t xml:space="preserve"> </w:t>
      </w:r>
      <w:r w:rsidRPr="00194D81">
        <w:rPr>
          <w:rFonts w:ascii="Arial" w:hAnsi="Arial" w:cs="Arial"/>
          <w:sz w:val="24"/>
          <w:szCs w:val="24"/>
          <w:lang w:val="es-ES_tradnl"/>
        </w:rPr>
        <w:t>el artículo 99, fracción V, en relación con el 41, fracción I, tercer párrafo, de la Constitución Política de los Estados Unidos Mexicanos.</w:t>
      </w:r>
    </w:p>
    <w:p w:rsidR="0083556F" w:rsidRPr="00194D81" w:rsidRDefault="002D33EA" w:rsidP="0083556F">
      <w:pPr>
        <w:spacing w:line="360" w:lineRule="auto"/>
        <w:ind w:right="-283"/>
        <w:jc w:val="both"/>
        <w:rPr>
          <w:rFonts w:ascii="Arial" w:hAnsi="Arial" w:cs="Arial"/>
          <w:sz w:val="24"/>
          <w:szCs w:val="24"/>
          <w:lang w:val="es-ES_tradnl"/>
        </w:rPr>
      </w:pPr>
      <w:r w:rsidRPr="00194D81">
        <w:rPr>
          <w:rFonts w:ascii="Arial" w:hAnsi="Arial" w:cs="Arial"/>
          <w:sz w:val="24"/>
          <w:szCs w:val="24"/>
          <w:lang w:val="es-ES_tradnl"/>
        </w:rPr>
        <w:t xml:space="preserve">Incluso, de acuerdo con lo previsto en el artículo 47, párrafo 2, de la Ley General de Partidos Políticos, todas las controversias sobre asuntos internos de los partidos se resolverán por los órganos de justicia </w:t>
      </w:r>
      <w:proofErr w:type="spellStart"/>
      <w:r w:rsidRPr="00194D81">
        <w:rPr>
          <w:rFonts w:ascii="Arial" w:hAnsi="Arial" w:cs="Arial"/>
          <w:sz w:val="24"/>
          <w:szCs w:val="24"/>
          <w:lang w:val="es-ES_tradnl"/>
        </w:rPr>
        <w:t>intrapartidaria</w:t>
      </w:r>
      <w:proofErr w:type="spellEnd"/>
      <w:r w:rsidRPr="00194D81">
        <w:rPr>
          <w:rFonts w:ascii="Arial" w:hAnsi="Arial" w:cs="Arial"/>
          <w:sz w:val="24"/>
          <w:szCs w:val="24"/>
          <w:lang w:val="es-ES_tradnl"/>
        </w:rPr>
        <w:t>, en tiempo, a fin de garantizar los derechos de su militancia</w:t>
      </w:r>
      <w:r w:rsidR="001D1548">
        <w:rPr>
          <w:rFonts w:ascii="Arial" w:hAnsi="Arial" w:cs="Arial"/>
          <w:sz w:val="24"/>
          <w:szCs w:val="24"/>
          <w:lang w:val="es-ES_tradnl"/>
        </w:rPr>
        <w:t>, así como de los ciudadanos que participan como aspirantes, atendiendo la bases de la convocatoria</w:t>
      </w:r>
      <w:r w:rsidRPr="00194D81">
        <w:rPr>
          <w:rFonts w:ascii="Arial" w:hAnsi="Arial" w:cs="Arial"/>
          <w:sz w:val="24"/>
          <w:szCs w:val="24"/>
          <w:lang w:val="es-ES_tradnl"/>
        </w:rPr>
        <w:t xml:space="preserve"> y, una vez que se agoten, podrán acudir ante un órgano de justicia, en su caso, al Tribunal Electoral de la entidad federativa y, posteriormente, ante la instancia federal.</w:t>
      </w:r>
    </w:p>
    <w:p w:rsidR="00A70DB1" w:rsidRPr="00194D81" w:rsidRDefault="007A19FA" w:rsidP="0083556F">
      <w:pPr>
        <w:spacing w:line="360" w:lineRule="auto"/>
        <w:ind w:right="-283"/>
        <w:jc w:val="both"/>
        <w:rPr>
          <w:rFonts w:ascii="Arial" w:hAnsi="Arial" w:cs="Arial"/>
          <w:sz w:val="24"/>
          <w:szCs w:val="24"/>
        </w:rPr>
      </w:pPr>
      <w:r w:rsidRPr="00194D81">
        <w:rPr>
          <w:rFonts w:ascii="Arial" w:hAnsi="Arial" w:cs="Arial"/>
          <w:sz w:val="24"/>
          <w:szCs w:val="24"/>
        </w:rPr>
        <w:t xml:space="preserve">Entonces, al existir tanto la autoridad, como el medio de impugnación </w:t>
      </w:r>
      <w:proofErr w:type="spellStart"/>
      <w:r w:rsidRPr="00194D81">
        <w:rPr>
          <w:rFonts w:ascii="Arial" w:hAnsi="Arial" w:cs="Arial"/>
          <w:sz w:val="24"/>
          <w:szCs w:val="24"/>
        </w:rPr>
        <w:t>intrapartidario</w:t>
      </w:r>
      <w:proofErr w:type="spellEnd"/>
      <w:r w:rsidRPr="00194D81">
        <w:rPr>
          <w:rFonts w:ascii="Arial" w:hAnsi="Arial" w:cs="Arial"/>
          <w:sz w:val="24"/>
          <w:szCs w:val="24"/>
        </w:rPr>
        <w:t xml:space="preserve"> previsto en los Estatutos, es innegable, que en la especi</w:t>
      </w:r>
      <w:r w:rsidR="00761AE0" w:rsidRPr="00194D81">
        <w:rPr>
          <w:rFonts w:ascii="Arial" w:hAnsi="Arial" w:cs="Arial"/>
          <w:sz w:val="24"/>
          <w:szCs w:val="24"/>
        </w:rPr>
        <w:t>e se</w:t>
      </w:r>
      <w:r w:rsidRPr="00194D81">
        <w:rPr>
          <w:rFonts w:ascii="Arial" w:hAnsi="Arial" w:cs="Arial"/>
          <w:sz w:val="24"/>
          <w:szCs w:val="24"/>
        </w:rPr>
        <w:t xml:space="preserve"> surte la causal de improcedencia prevista en el artículo 304, fracción II, inciso e), del </w:t>
      </w:r>
      <w:r w:rsidRPr="00194D81">
        <w:rPr>
          <w:rFonts w:ascii="Arial" w:hAnsi="Arial" w:cs="Arial"/>
          <w:sz w:val="24"/>
          <w:szCs w:val="24"/>
        </w:rPr>
        <w:lastRenderedPageBreak/>
        <w:t>Código Electoral, que dispone que son improcedentes los medios de impugnación en los que no se agote previamente el principio de definitividad.</w:t>
      </w:r>
    </w:p>
    <w:p w:rsidR="00A70DB1" w:rsidRPr="00194D81" w:rsidRDefault="007A19FA" w:rsidP="00FB074B">
      <w:pPr>
        <w:pStyle w:val="NormalWeb"/>
        <w:tabs>
          <w:tab w:val="left" w:pos="284"/>
        </w:tabs>
        <w:spacing w:line="360" w:lineRule="auto"/>
        <w:ind w:right="-283"/>
        <w:contextualSpacing/>
        <w:mirrorIndents/>
        <w:jc w:val="both"/>
        <w:rPr>
          <w:rFonts w:ascii="Arial" w:hAnsi="Arial" w:cs="Arial"/>
        </w:rPr>
      </w:pPr>
      <w:r w:rsidRPr="00194D81">
        <w:rPr>
          <w:rFonts w:ascii="Arial" w:hAnsi="Arial" w:cs="Arial"/>
        </w:rPr>
        <w:t xml:space="preserve">Lo anterior encuentra apoyo en lo dispuesto en la </w:t>
      </w:r>
      <w:r w:rsidRPr="00194D81">
        <w:rPr>
          <w:rFonts w:ascii="Arial" w:hAnsi="Arial" w:cs="Arial"/>
          <w:b/>
        </w:rPr>
        <w:t>Jurisprudencia 5/2005</w:t>
      </w:r>
      <w:r w:rsidRPr="00194D81">
        <w:rPr>
          <w:rFonts w:ascii="Arial" w:hAnsi="Arial" w:cs="Arial"/>
        </w:rPr>
        <w:t xml:space="preserve">, de rubro: </w:t>
      </w:r>
      <w:r w:rsidRPr="00194D81">
        <w:rPr>
          <w:rFonts w:ascii="Arial" w:hAnsi="Arial" w:cs="Arial"/>
          <w:b/>
        </w:rPr>
        <w:t>“MEDIO DE IMPUGNACIÓN INTRAPARTIDARIO. DEBE AGOTARSE ANTES DE ACUDIR A LA INSTANCIA JURISDICCIONAL, AUN CUANDO EL PLAZO PARA SU RESOLUCIÓN NO ESTÉ PREVISTO EN LA REGLAMENTACIÓN DEL PARTIDO POLÍTICO.</w:t>
      </w:r>
      <w:r w:rsidRPr="00194D81">
        <w:rPr>
          <w:rFonts w:ascii="Arial" w:hAnsi="Arial" w:cs="Arial"/>
        </w:rPr>
        <w:t>"</w:t>
      </w:r>
      <w:r w:rsidRPr="00194D81">
        <w:rPr>
          <w:rStyle w:val="Refdenotaalpie"/>
          <w:rFonts w:ascii="Arial" w:hAnsi="Arial" w:cs="Arial"/>
        </w:rPr>
        <w:footnoteReference w:id="3"/>
      </w:r>
    </w:p>
    <w:p w:rsidR="00761AE0" w:rsidRPr="00194D81" w:rsidRDefault="00761AE0" w:rsidP="00A70DB1">
      <w:pPr>
        <w:pStyle w:val="NormalWeb"/>
        <w:tabs>
          <w:tab w:val="left" w:pos="284"/>
        </w:tabs>
        <w:spacing w:line="360" w:lineRule="auto"/>
        <w:ind w:right="-283"/>
        <w:contextualSpacing/>
        <w:mirrorIndents/>
        <w:jc w:val="both"/>
        <w:rPr>
          <w:rFonts w:ascii="Arial" w:hAnsi="Arial" w:cs="Arial"/>
        </w:rPr>
      </w:pPr>
    </w:p>
    <w:p w:rsidR="00761AE0" w:rsidRPr="00194D81" w:rsidRDefault="00761AE0" w:rsidP="004210D6">
      <w:pPr>
        <w:pStyle w:val="NormalWeb"/>
        <w:numPr>
          <w:ilvl w:val="0"/>
          <w:numId w:val="1"/>
        </w:numPr>
        <w:tabs>
          <w:tab w:val="left" w:pos="284"/>
        </w:tabs>
        <w:spacing w:line="360" w:lineRule="auto"/>
        <w:ind w:left="0" w:right="-283" w:firstLine="0"/>
        <w:contextualSpacing/>
        <w:mirrorIndents/>
        <w:jc w:val="both"/>
        <w:rPr>
          <w:rFonts w:ascii="Arial" w:hAnsi="Arial" w:cs="Arial"/>
        </w:rPr>
      </w:pPr>
      <w:r w:rsidRPr="00194D81">
        <w:rPr>
          <w:rFonts w:ascii="Arial" w:hAnsi="Arial" w:cs="Arial"/>
          <w:b/>
        </w:rPr>
        <w:t>REENCAU</w:t>
      </w:r>
      <w:r w:rsidR="0083556F" w:rsidRPr="00194D81">
        <w:rPr>
          <w:rFonts w:ascii="Arial" w:hAnsi="Arial" w:cs="Arial"/>
          <w:b/>
        </w:rPr>
        <w:t>Z</w:t>
      </w:r>
      <w:r w:rsidRPr="00194D81">
        <w:rPr>
          <w:rFonts w:ascii="Arial" w:hAnsi="Arial" w:cs="Arial"/>
          <w:b/>
        </w:rPr>
        <w:t xml:space="preserve">AMIENTO. </w:t>
      </w:r>
      <w:r w:rsidRPr="00194D81">
        <w:rPr>
          <w:rFonts w:ascii="Arial" w:hAnsi="Arial" w:cs="Arial"/>
        </w:rPr>
        <w:t xml:space="preserve">En el caso concreto, según la certificación de cuenta, existen los acuerdos de reencauzamiento a la instancia </w:t>
      </w:r>
      <w:proofErr w:type="spellStart"/>
      <w:r w:rsidRPr="00194D81">
        <w:rPr>
          <w:rFonts w:ascii="Arial" w:hAnsi="Arial" w:cs="Arial"/>
        </w:rPr>
        <w:t>intrapartidista</w:t>
      </w:r>
      <w:proofErr w:type="spellEnd"/>
      <w:r w:rsidR="00F75536">
        <w:rPr>
          <w:rFonts w:ascii="Arial" w:hAnsi="Arial" w:cs="Arial"/>
        </w:rPr>
        <w:t xml:space="preserve"> dictados por la Sala Regional Monterrey</w:t>
      </w:r>
      <w:r w:rsidRPr="00194D81">
        <w:rPr>
          <w:rFonts w:ascii="Arial" w:hAnsi="Arial" w:cs="Arial"/>
        </w:rPr>
        <w:t xml:space="preserve">, de los juicios para la protección de los derechos político-electorales del ciudadano SM-JDC-66/2019 y SM-JDC-67/2019, promovidos </w:t>
      </w:r>
      <w:r w:rsidR="00F75536">
        <w:rPr>
          <w:rFonts w:ascii="Arial" w:hAnsi="Arial" w:cs="Arial"/>
        </w:rPr>
        <w:t xml:space="preserve">contra el </w:t>
      </w:r>
      <w:r w:rsidR="008D13EE">
        <w:rPr>
          <w:rFonts w:ascii="Arial" w:hAnsi="Arial" w:cs="Arial"/>
        </w:rPr>
        <w:t>mismo</w:t>
      </w:r>
      <w:r w:rsidRPr="00194D81">
        <w:rPr>
          <w:rFonts w:ascii="Arial" w:hAnsi="Arial" w:cs="Arial"/>
        </w:rPr>
        <w:t xml:space="preserve"> acto impugnado en esta vía</w:t>
      </w:r>
      <w:r w:rsidR="00F75536">
        <w:rPr>
          <w:rFonts w:ascii="Arial" w:hAnsi="Arial" w:cs="Arial"/>
        </w:rPr>
        <w:t>, que virtud a tales reencauzamientos, quedará sustituido por la determinación interna</w:t>
      </w:r>
      <w:r w:rsidRPr="00194D81">
        <w:rPr>
          <w:rFonts w:ascii="Arial" w:hAnsi="Arial" w:cs="Arial"/>
        </w:rPr>
        <w:t>.</w:t>
      </w:r>
    </w:p>
    <w:p w:rsidR="00761AE0" w:rsidRPr="00194D81" w:rsidRDefault="00761AE0" w:rsidP="0083556F">
      <w:pPr>
        <w:pStyle w:val="NormalWeb"/>
        <w:tabs>
          <w:tab w:val="left" w:pos="284"/>
        </w:tabs>
        <w:spacing w:line="360" w:lineRule="auto"/>
        <w:ind w:right="-283"/>
        <w:contextualSpacing/>
        <w:mirrorIndents/>
        <w:jc w:val="both"/>
        <w:rPr>
          <w:rFonts w:ascii="Arial" w:hAnsi="Arial" w:cs="Arial"/>
        </w:rPr>
      </w:pPr>
    </w:p>
    <w:p w:rsidR="00A70DB1" w:rsidRPr="00194D81" w:rsidRDefault="00761AE0" w:rsidP="00761AE0">
      <w:pPr>
        <w:pStyle w:val="NormalWeb"/>
        <w:tabs>
          <w:tab w:val="left" w:pos="284"/>
        </w:tabs>
        <w:spacing w:line="360" w:lineRule="auto"/>
        <w:ind w:right="-283"/>
        <w:contextualSpacing/>
        <w:mirrorIndents/>
        <w:jc w:val="both"/>
        <w:rPr>
          <w:rFonts w:ascii="Arial" w:hAnsi="Arial" w:cs="Arial"/>
          <w:lang w:val="es-ES_tradnl"/>
        </w:rPr>
      </w:pPr>
      <w:r w:rsidRPr="00194D81">
        <w:rPr>
          <w:rFonts w:ascii="Arial" w:hAnsi="Arial" w:cs="Arial"/>
        </w:rPr>
        <w:t xml:space="preserve">De esta forma, </w:t>
      </w:r>
      <w:r w:rsidR="0083556F" w:rsidRPr="00194D81">
        <w:rPr>
          <w:rFonts w:ascii="Arial" w:hAnsi="Arial" w:cs="Arial"/>
        </w:rPr>
        <w:t xml:space="preserve">toda vez que existe una instancia partidista para solucionar el conflicto, en respeto a los principios de </w:t>
      </w:r>
      <w:r w:rsidRPr="00194D81">
        <w:rPr>
          <w:rFonts w:ascii="Arial" w:hAnsi="Arial" w:cs="Arial"/>
        </w:rPr>
        <w:t>continencia de la causa</w:t>
      </w:r>
      <w:r w:rsidR="008D13EE">
        <w:rPr>
          <w:rFonts w:ascii="Arial" w:hAnsi="Arial" w:cs="Arial"/>
        </w:rPr>
        <w:t xml:space="preserve"> y </w:t>
      </w:r>
      <w:r w:rsidR="008D13EE" w:rsidRPr="00194D81">
        <w:rPr>
          <w:rFonts w:ascii="Arial" w:hAnsi="Arial" w:cs="Arial"/>
        </w:rPr>
        <w:t>definitividad,</w:t>
      </w:r>
      <w:r w:rsidRPr="00194D81">
        <w:rPr>
          <w:rFonts w:ascii="Arial" w:hAnsi="Arial" w:cs="Arial"/>
        </w:rPr>
        <w:t xml:space="preserve"> así como </w:t>
      </w:r>
      <w:r w:rsidR="0083556F" w:rsidRPr="00194D81">
        <w:rPr>
          <w:rFonts w:ascii="Arial" w:hAnsi="Arial" w:cs="Arial"/>
        </w:rPr>
        <w:t xml:space="preserve">a fin de </w:t>
      </w:r>
      <w:r w:rsidRPr="00194D81">
        <w:rPr>
          <w:rFonts w:ascii="Arial" w:hAnsi="Arial" w:cs="Arial"/>
        </w:rPr>
        <w:t xml:space="preserve">evitar el dictado de resoluciones contradictorias, lo conducente es el </w:t>
      </w:r>
      <w:r w:rsidR="004A489A" w:rsidRPr="00194D81">
        <w:rPr>
          <w:rFonts w:ascii="Arial" w:hAnsi="Arial" w:cs="Arial"/>
        </w:rPr>
        <w:t>reencauzamiento del presente juicio</w:t>
      </w:r>
      <w:r w:rsidR="00A70DB1" w:rsidRPr="00194D81">
        <w:rPr>
          <w:rFonts w:ascii="Arial" w:hAnsi="Arial" w:cs="Arial"/>
        </w:rPr>
        <w:t>.</w:t>
      </w:r>
    </w:p>
    <w:p w:rsidR="00A70DB1" w:rsidRPr="00194D81" w:rsidRDefault="00A70DB1" w:rsidP="00A70DB1">
      <w:pPr>
        <w:pStyle w:val="NormalWeb"/>
        <w:tabs>
          <w:tab w:val="left" w:pos="284"/>
        </w:tabs>
        <w:spacing w:line="360" w:lineRule="auto"/>
        <w:ind w:right="-283"/>
        <w:contextualSpacing/>
        <w:mirrorIndents/>
        <w:jc w:val="both"/>
        <w:rPr>
          <w:rFonts w:ascii="Arial" w:hAnsi="Arial" w:cs="Arial"/>
          <w:lang w:val="es-ES_tradnl"/>
        </w:rPr>
      </w:pPr>
    </w:p>
    <w:p w:rsidR="00A70DB1" w:rsidRDefault="00761AE0" w:rsidP="001D1548">
      <w:pPr>
        <w:pStyle w:val="NormalWeb"/>
        <w:tabs>
          <w:tab w:val="left" w:pos="284"/>
        </w:tabs>
        <w:spacing w:line="360" w:lineRule="auto"/>
        <w:ind w:right="-283"/>
        <w:contextualSpacing/>
        <w:mirrorIndents/>
        <w:jc w:val="both"/>
        <w:rPr>
          <w:rFonts w:ascii="Arial" w:hAnsi="Arial" w:cs="Arial"/>
        </w:rPr>
      </w:pPr>
      <w:r w:rsidRPr="00194D81">
        <w:rPr>
          <w:rFonts w:ascii="Arial" w:hAnsi="Arial" w:cs="Arial"/>
        </w:rPr>
        <w:t xml:space="preserve">En efecto, </w:t>
      </w:r>
      <w:r w:rsidR="000A0CB5" w:rsidRPr="00194D81">
        <w:rPr>
          <w:rFonts w:ascii="Arial" w:hAnsi="Arial" w:cs="Arial"/>
        </w:rPr>
        <w:t>el artículo 54</w:t>
      </w:r>
      <w:r w:rsidR="00292561" w:rsidRPr="00194D81">
        <w:rPr>
          <w:rFonts w:ascii="Arial" w:hAnsi="Arial" w:cs="Arial"/>
        </w:rPr>
        <w:t xml:space="preserve"> de</w:t>
      </w:r>
      <w:r w:rsidR="000A0CB5" w:rsidRPr="00194D81">
        <w:rPr>
          <w:rFonts w:ascii="Arial" w:hAnsi="Arial" w:cs="Arial"/>
        </w:rPr>
        <w:t xml:space="preserve"> los Estatutos de Morena, </w:t>
      </w:r>
      <w:r w:rsidR="005B1EE6" w:rsidRPr="00194D81">
        <w:rPr>
          <w:rFonts w:ascii="Arial" w:hAnsi="Arial" w:cs="Arial"/>
        </w:rPr>
        <w:t>establece que el procedimiento para conocer de quejas y denuncias garantizará el derecho de audiencia y defensa e iniciará con el escrito del promovente</w:t>
      </w:r>
      <w:r w:rsidR="0002628C" w:rsidRPr="00194D81">
        <w:rPr>
          <w:rFonts w:ascii="Arial" w:hAnsi="Arial" w:cs="Arial"/>
        </w:rPr>
        <w:t>, así como autoridad competente para resolver a la Comisión Nacional de Honestidad y Justicia</w:t>
      </w:r>
      <w:r w:rsidR="00A70DB1" w:rsidRPr="00194D81">
        <w:rPr>
          <w:rFonts w:ascii="Arial" w:hAnsi="Arial" w:cs="Arial"/>
        </w:rPr>
        <w:t>.</w:t>
      </w:r>
    </w:p>
    <w:p w:rsidR="001D1548" w:rsidRDefault="001D1548" w:rsidP="001D1548">
      <w:pPr>
        <w:pStyle w:val="NormalWeb"/>
        <w:tabs>
          <w:tab w:val="left" w:pos="284"/>
        </w:tabs>
        <w:spacing w:line="360" w:lineRule="auto"/>
        <w:ind w:right="-283"/>
        <w:contextualSpacing/>
        <w:mirrorIndents/>
        <w:jc w:val="both"/>
        <w:rPr>
          <w:rFonts w:ascii="Arial" w:hAnsi="Arial" w:cs="Arial"/>
        </w:rPr>
      </w:pPr>
    </w:p>
    <w:p w:rsidR="00A70DB1" w:rsidRPr="00194D81" w:rsidRDefault="0083556F" w:rsidP="00A70DB1">
      <w:pPr>
        <w:pStyle w:val="NormalWeb"/>
        <w:tabs>
          <w:tab w:val="left" w:pos="284"/>
        </w:tabs>
        <w:spacing w:line="360" w:lineRule="auto"/>
        <w:ind w:right="-283"/>
        <w:contextualSpacing/>
        <w:mirrorIndents/>
        <w:jc w:val="both"/>
        <w:rPr>
          <w:rFonts w:ascii="Arial" w:hAnsi="Arial" w:cs="Arial"/>
        </w:rPr>
      </w:pPr>
      <w:r w:rsidRPr="00194D81">
        <w:rPr>
          <w:rFonts w:ascii="Arial" w:hAnsi="Arial" w:cs="Arial"/>
        </w:rPr>
        <w:t>Así</w:t>
      </w:r>
      <w:r w:rsidR="004045F6" w:rsidRPr="00194D81">
        <w:rPr>
          <w:rFonts w:ascii="Arial" w:hAnsi="Arial" w:cs="Arial"/>
        </w:rPr>
        <w:t>, se advierte que</w:t>
      </w:r>
      <w:r w:rsidR="00292561" w:rsidRPr="00194D81">
        <w:rPr>
          <w:rFonts w:ascii="Arial" w:hAnsi="Arial" w:cs="Arial"/>
        </w:rPr>
        <w:t xml:space="preserve"> está previsto, de manera específica, un medio de impugnación para controvertir las resoluciones emitidas por las comisiones organizadoras electorales </w:t>
      </w:r>
      <w:r w:rsidR="004045F6" w:rsidRPr="00194D81">
        <w:rPr>
          <w:rFonts w:ascii="Arial" w:hAnsi="Arial" w:cs="Arial"/>
        </w:rPr>
        <w:t>de Morena</w:t>
      </w:r>
      <w:r w:rsidR="00292561" w:rsidRPr="00194D81">
        <w:rPr>
          <w:rFonts w:ascii="Arial" w:hAnsi="Arial" w:cs="Arial"/>
        </w:rPr>
        <w:t>, así como la posible vulneración de derechos con motivo de los procesos internos de selección de candidaturas.</w:t>
      </w:r>
    </w:p>
    <w:p w:rsidR="00A70DB1" w:rsidRPr="00194D81" w:rsidRDefault="00A70DB1" w:rsidP="00A70DB1">
      <w:pPr>
        <w:pStyle w:val="NormalWeb"/>
        <w:tabs>
          <w:tab w:val="left" w:pos="284"/>
        </w:tabs>
        <w:spacing w:line="360" w:lineRule="auto"/>
        <w:ind w:right="-283"/>
        <w:contextualSpacing/>
        <w:mirrorIndents/>
        <w:jc w:val="both"/>
        <w:rPr>
          <w:rFonts w:ascii="Arial" w:hAnsi="Arial" w:cs="Arial"/>
        </w:rPr>
      </w:pPr>
    </w:p>
    <w:p w:rsidR="00194D81" w:rsidRDefault="0083556F" w:rsidP="00194D81">
      <w:pPr>
        <w:pStyle w:val="NormalWeb"/>
        <w:tabs>
          <w:tab w:val="left" w:pos="284"/>
        </w:tabs>
        <w:spacing w:line="360" w:lineRule="auto"/>
        <w:ind w:right="-283"/>
        <w:contextualSpacing/>
        <w:mirrorIndents/>
        <w:jc w:val="both"/>
        <w:rPr>
          <w:rFonts w:ascii="Arial" w:hAnsi="Arial" w:cs="Arial"/>
        </w:rPr>
      </w:pPr>
      <w:r w:rsidRPr="00194D81">
        <w:rPr>
          <w:rFonts w:ascii="Arial" w:hAnsi="Arial" w:cs="Arial"/>
        </w:rPr>
        <w:t>También</w:t>
      </w:r>
      <w:r w:rsidR="00292561" w:rsidRPr="00194D81">
        <w:rPr>
          <w:rFonts w:ascii="Arial" w:hAnsi="Arial" w:cs="Arial"/>
        </w:rPr>
        <w:t xml:space="preserve">, se aprecia la existencia de un órgano partidista encargado asumir atribuciones en materia jurisdiccional dentro de los procesos internos de selección de candidatos. Por tanto, se cumple el primer elemento de la exigencia de agotar las instancias previas, toda vez que existe un órgano partidista y una </w:t>
      </w:r>
      <w:r w:rsidR="00292561" w:rsidRPr="00194D81">
        <w:rPr>
          <w:rFonts w:ascii="Arial" w:hAnsi="Arial" w:cs="Arial"/>
        </w:rPr>
        <w:lastRenderedPageBreak/>
        <w:t xml:space="preserve">vía idónea y eficaz para resolver, al interior del partido, la controversia planteada por el actor. </w:t>
      </w:r>
    </w:p>
    <w:p w:rsidR="00194D81" w:rsidRDefault="00194D81" w:rsidP="00194D81">
      <w:pPr>
        <w:pStyle w:val="NormalWeb"/>
        <w:tabs>
          <w:tab w:val="left" w:pos="284"/>
        </w:tabs>
        <w:spacing w:line="360" w:lineRule="auto"/>
        <w:ind w:right="-283"/>
        <w:contextualSpacing/>
        <w:mirrorIndents/>
        <w:jc w:val="both"/>
        <w:rPr>
          <w:rFonts w:ascii="Arial" w:hAnsi="Arial" w:cs="Arial"/>
        </w:rPr>
      </w:pPr>
    </w:p>
    <w:p w:rsidR="002E403C" w:rsidRPr="002E403C" w:rsidRDefault="00292561" w:rsidP="004210D6">
      <w:pPr>
        <w:pStyle w:val="NormalWeb"/>
        <w:tabs>
          <w:tab w:val="left" w:pos="284"/>
        </w:tabs>
        <w:spacing w:line="360" w:lineRule="auto"/>
        <w:ind w:right="-283"/>
        <w:contextualSpacing/>
        <w:mirrorIndents/>
        <w:jc w:val="both"/>
        <w:rPr>
          <w:rFonts w:ascii="Arial" w:hAnsi="Arial" w:cs="Arial"/>
          <w:b/>
          <w:bCs/>
          <w:shd w:val="clear" w:color="auto" w:fill="FFFFFF" w:themeFill="background1"/>
        </w:rPr>
      </w:pPr>
      <w:r w:rsidRPr="002E403C">
        <w:rPr>
          <w:rFonts w:ascii="Arial" w:hAnsi="Arial" w:cs="Arial"/>
        </w:rPr>
        <w:t xml:space="preserve">Por otra parte, el agotamiento </w:t>
      </w:r>
      <w:r w:rsidR="00575F01" w:rsidRPr="002E403C">
        <w:rPr>
          <w:rFonts w:ascii="Arial" w:hAnsi="Arial" w:cs="Arial"/>
        </w:rPr>
        <w:t>del recurso interno,</w:t>
      </w:r>
      <w:r w:rsidRPr="002E403C">
        <w:rPr>
          <w:rFonts w:ascii="Arial" w:hAnsi="Arial" w:cs="Arial"/>
        </w:rPr>
        <w:t xml:space="preserve"> no se traduce en una merma o extinción de la pretensión del promovente, porque la litis se relaciona con el método para la designación de candidatos, </w:t>
      </w:r>
      <w:r w:rsidR="00CB4717" w:rsidRPr="002E403C">
        <w:rPr>
          <w:rFonts w:ascii="Arial" w:hAnsi="Arial" w:cs="Arial"/>
        </w:rPr>
        <w:t xml:space="preserve">pues tal y como lo </w:t>
      </w:r>
      <w:r w:rsidR="004065E0" w:rsidRPr="002E403C">
        <w:rPr>
          <w:rFonts w:ascii="Arial" w:hAnsi="Arial" w:cs="Arial"/>
        </w:rPr>
        <w:t>determinó</w:t>
      </w:r>
      <w:r w:rsidR="00CB4717" w:rsidRPr="002E403C">
        <w:rPr>
          <w:rFonts w:ascii="Arial" w:hAnsi="Arial" w:cs="Arial"/>
        </w:rPr>
        <w:t xml:space="preserve"> la Sala Monterrey, </w:t>
      </w:r>
      <w:r w:rsidR="00842A85" w:rsidRPr="002E403C">
        <w:rPr>
          <w:rFonts w:ascii="Arial" w:hAnsi="Arial" w:cs="Arial"/>
        </w:rPr>
        <w:t xml:space="preserve">en </w:t>
      </w:r>
      <w:r w:rsidR="00842A85" w:rsidRPr="002E403C">
        <w:rPr>
          <w:rFonts w:ascii="Arial" w:hAnsi="Arial" w:cs="Arial"/>
          <w:bCs/>
        </w:rPr>
        <w:t>l</w:t>
      </w:r>
      <w:r w:rsidR="00AA33D4" w:rsidRPr="002E403C">
        <w:rPr>
          <w:rFonts w:ascii="Arial" w:hAnsi="Arial" w:cs="Arial"/>
          <w:bCs/>
        </w:rPr>
        <w:t>os</w:t>
      </w:r>
      <w:r w:rsidR="00842A85" w:rsidRPr="002E403C">
        <w:rPr>
          <w:rFonts w:ascii="Arial" w:hAnsi="Arial" w:cs="Arial"/>
          <w:bCs/>
        </w:rPr>
        <w:t xml:space="preserve"> acuerdo</w:t>
      </w:r>
      <w:r w:rsidR="00AA33D4" w:rsidRPr="002E403C">
        <w:rPr>
          <w:rFonts w:ascii="Arial" w:hAnsi="Arial" w:cs="Arial"/>
          <w:bCs/>
        </w:rPr>
        <w:t>s</w:t>
      </w:r>
      <w:r w:rsidR="00842A85" w:rsidRPr="002E403C">
        <w:rPr>
          <w:rFonts w:ascii="Arial" w:hAnsi="Arial" w:cs="Arial"/>
          <w:bCs/>
        </w:rPr>
        <w:t xml:space="preserve"> plenario</w:t>
      </w:r>
      <w:r w:rsidR="00AA33D4" w:rsidRPr="002E403C">
        <w:rPr>
          <w:rFonts w:ascii="Arial" w:hAnsi="Arial" w:cs="Arial"/>
          <w:bCs/>
        </w:rPr>
        <w:t>s</w:t>
      </w:r>
      <w:r w:rsidR="00842A85" w:rsidRPr="002E403C">
        <w:rPr>
          <w:rFonts w:ascii="Arial" w:hAnsi="Arial" w:cs="Arial"/>
          <w:bCs/>
        </w:rPr>
        <w:t xml:space="preserve"> </w:t>
      </w:r>
      <w:r w:rsidR="0083556F" w:rsidRPr="002E403C">
        <w:rPr>
          <w:rFonts w:ascii="Arial" w:hAnsi="Arial" w:cs="Arial"/>
          <w:bCs/>
        </w:rPr>
        <w:t>ya mencionados</w:t>
      </w:r>
      <w:r w:rsidR="00842A85" w:rsidRPr="002E403C">
        <w:rPr>
          <w:rFonts w:ascii="Arial" w:hAnsi="Arial" w:cs="Arial"/>
          <w:bCs/>
        </w:rPr>
        <w:t xml:space="preserve">, </w:t>
      </w:r>
      <w:r w:rsidR="00842A85" w:rsidRPr="002E403C">
        <w:rPr>
          <w:rFonts w:ascii="Arial" w:hAnsi="Arial" w:cs="Arial"/>
          <w:b/>
          <w:bCs/>
        </w:rPr>
        <w:t xml:space="preserve">el plazo para la entrega de solicitudes de registro y sustitución de candidatos será del cinco al once de abril de este año, por lo que el órgano de justicia partidaria podrá sustanciar y resolver el medio de impugnación contra el acto que se controvierte y, en su caso, el promovente podrá acudir a la instancia </w:t>
      </w:r>
      <w:r w:rsidR="0083556F" w:rsidRPr="002E403C">
        <w:rPr>
          <w:rFonts w:ascii="Arial" w:hAnsi="Arial" w:cs="Arial"/>
          <w:b/>
          <w:bCs/>
        </w:rPr>
        <w:t>jurisdiccional</w:t>
      </w:r>
      <w:r w:rsidR="00842A85" w:rsidRPr="002E403C">
        <w:rPr>
          <w:rFonts w:ascii="Arial" w:hAnsi="Arial" w:cs="Arial"/>
          <w:b/>
          <w:bCs/>
        </w:rPr>
        <w:t xml:space="preserve">, sin que por ello pueda generarse una </w:t>
      </w:r>
      <w:proofErr w:type="spellStart"/>
      <w:r w:rsidR="00842A85" w:rsidRPr="002E403C">
        <w:rPr>
          <w:rFonts w:ascii="Arial" w:hAnsi="Arial" w:cs="Arial"/>
          <w:b/>
          <w:bCs/>
        </w:rPr>
        <w:t>irreparabilidad</w:t>
      </w:r>
      <w:proofErr w:type="spellEnd"/>
      <w:r w:rsidR="00842A85" w:rsidRPr="002E403C">
        <w:rPr>
          <w:rFonts w:ascii="Arial" w:hAnsi="Arial" w:cs="Arial"/>
          <w:b/>
          <w:bCs/>
        </w:rPr>
        <w:t xml:space="preserve"> en el derecho que se aduce vulnerado</w:t>
      </w:r>
      <w:r w:rsidR="00842A85" w:rsidRPr="002E403C">
        <w:rPr>
          <w:rFonts w:ascii="Arial" w:hAnsi="Arial" w:cs="Arial"/>
          <w:b/>
          <w:bCs/>
          <w:shd w:val="clear" w:color="auto" w:fill="FFFFFF" w:themeFill="background1"/>
        </w:rPr>
        <w:t>.</w:t>
      </w:r>
    </w:p>
    <w:p w:rsidR="002E403C" w:rsidRPr="002E403C" w:rsidRDefault="002E403C" w:rsidP="002E403C">
      <w:pPr>
        <w:pStyle w:val="NormalWeb"/>
        <w:tabs>
          <w:tab w:val="left" w:pos="284"/>
        </w:tabs>
        <w:spacing w:line="360" w:lineRule="auto"/>
        <w:ind w:right="-283"/>
        <w:contextualSpacing/>
        <w:mirrorIndents/>
        <w:jc w:val="both"/>
        <w:rPr>
          <w:rFonts w:ascii="Arial" w:hAnsi="Arial" w:cs="Arial"/>
          <w:b/>
          <w:bCs/>
          <w:shd w:val="clear" w:color="auto" w:fill="FFFFFF" w:themeFill="background1"/>
        </w:rPr>
      </w:pPr>
    </w:p>
    <w:p w:rsidR="002E403C" w:rsidRPr="002E403C" w:rsidRDefault="002E403C" w:rsidP="002E403C">
      <w:pPr>
        <w:pStyle w:val="NormalWeb"/>
        <w:tabs>
          <w:tab w:val="left" w:pos="284"/>
        </w:tabs>
        <w:spacing w:line="360" w:lineRule="auto"/>
        <w:ind w:right="-283"/>
        <w:contextualSpacing/>
        <w:mirrorIndents/>
        <w:jc w:val="both"/>
        <w:rPr>
          <w:rFonts w:ascii="Arial" w:hAnsi="Arial" w:cs="Arial"/>
          <w:b/>
          <w:bCs/>
          <w:shd w:val="clear" w:color="auto" w:fill="FFFFFF" w:themeFill="background1"/>
        </w:rPr>
      </w:pPr>
      <w:r w:rsidRPr="002E403C">
        <w:rPr>
          <w:rFonts w:ascii="Arial" w:hAnsi="Arial" w:cs="Arial"/>
        </w:rPr>
        <w:t xml:space="preserve">Aunado a lo anterior, </w:t>
      </w:r>
      <w:r w:rsidRPr="002E403C">
        <w:rPr>
          <w:rFonts w:ascii="Arial" w:hAnsi="Arial" w:cs="Arial"/>
          <w:b/>
        </w:rPr>
        <w:t>a las autoridades jurisdiccionales en materia electoral, se les impone el deber de observar e</w:t>
      </w:r>
      <w:r w:rsidR="00F75536">
        <w:rPr>
          <w:rFonts w:ascii="Arial" w:hAnsi="Arial" w:cs="Arial"/>
          <w:b/>
        </w:rPr>
        <w:t>l</w:t>
      </w:r>
      <w:r w:rsidRPr="002E403C">
        <w:rPr>
          <w:rFonts w:ascii="Arial" w:hAnsi="Arial" w:cs="Arial"/>
          <w:b/>
        </w:rPr>
        <w:t xml:space="preserve"> principio constitucional</w:t>
      </w:r>
      <w:r w:rsidR="00F75536">
        <w:rPr>
          <w:rFonts w:ascii="Arial" w:hAnsi="Arial" w:cs="Arial"/>
          <w:b/>
        </w:rPr>
        <w:t xml:space="preserve"> de definitividad</w:t>
      </w:r>
      <w:r w:rsidRPr="002E403C">
        <w:rPr>
          <w:rFonts w:ascii="Arial" w:hAnsi="Arial" w:cs="Arial"/>
          <w:b/>
        </w:rPr>
        <w:t xml:space="preserve">, a fin de respetar la vida interna de los partidos políticos en la toma de sus respectivas decisiones. </w:t>
      </w:r>
    </w:p>
    <w:p w:rsidR="00194D81" w:rsidRDefault="00194D81" w:rsidP="00194D81">
      <w:pPr>
        <w:pStyle w:val="NormalWeb"/>
        <w:tabs>
          <w:tab w:val="left" w:pos="284"/>
        </w:tabs>
        <w:spacing w:line="360" w:lineRule="auto"/>
        <w:ind w:right="-283"/>
        <w:contextualSpacing/>
        <w:mirrorIndents/>
        <w:jc w:val="both"/>
        <w:rPr>
          <w:rFonts w:ascii="Arial" w:hAnsi="Arial" w:cs="Arial"/>
          <w:b/>
          <w:bCs/>
          <w:shd w:val="clear" w:color="auto" w:fill="FFFFFF" w:themeFill="background1"/>
        </w:rPr>
      </w:pPr>
    </w:p>
    <w:p w:rsidR="00194D81" w:rsidRDefault="0083556F" w:rsidP="00194D81">
      <w:pPr>
        <w:pStyle w:val="NormalWeb"/>
        <w:tabs>
          <w:tab w:val="left" w:pos="284"/>
        </w:tabs>
        <w:spacing w:line="360" w:lineRule="auto"/>
        <w:ind w:right="-283"/>
        <w:contextualSpacing/>
        <w:mirrorIndents/>
        <w:jc w:val="both"/>
        <w:rPr>
          <w:rFonts w:ascii="Arial" w:hAnsi="Arial" w:cs="Arial"/>
          <w:i/>
        </w:rPr>
      </w:pPr>
      <w:r w:rsidRPr="00194D81">
        <w:rPr>
          <w:rFonts w:ascii="Arial" w:hAnsi="Arial" w:cs="Arial"/>
        </w:rPr>
        <w:t xml:space="preserve">En tal orden, </w:t>
      </w:r>
      <w:r w:rsidR="00A70DB1" w:rsidRPr="00194D81">
        <w:rPr>
          <w:rFonts w:ascii="Arial" w:hAnsi="Arial" w:cs="Arial"/>
        </w:rPr>
        <w:t xml:space="preserve">aun cuando </w:t>
      </w:r>
      <w:r w:rsidR="008D13EE">
        <w:rPr>
          <w:rFonts w:ascii="Arial" w:hAnsi="Arial" w:cs="Arial"/>
          <w:b/>
        </w:rPr>
        <w:t xml:space="preserve">en este </w:t>
      </w:r>
      <w:r w:rsidR="008D13EE" w:rsidRPr="008D13EE">
        <w:rPr>
          <w:rFonts w:ascii="Arial" w:hAnsi="Arial" w:cs="Arial"/>
          <w:b/>
        </w:rPr>
        <w:t>momento</w:t>
      </w:r>
      <w:r w:rsidR="008D13EE">
        <w:rPr>
          <w:rFonts w:ascii="Arial" w:hAnsi="Arial" w:cs="Arial"/>
        </w:rPr>
        <w:t xml:space="preserve"> </w:t>
      </w:r>
      <w:r w:rsidR="00A70DB1" w:rsidRPr="008D13EE">
        <w:rPr>
          <w:rFonts w:ascii="Arial" w:hAnsi="Arial" w:cs="Arial"/>
        </w:rPr>
        <w:t>es</w:t>
      </w:r>
      <w:r w:rsidR="00A70DB1" w:rsidRPr="00194D81">
        <w:rPr>
          <w:rFonts w:ascii="Arial" w:hAnsi="Arial" w:cs="Arial"/>
        </w:rPr>
        <w:t xml:space="preserve"> improcedente el juicio para la protección de los derechos político-electorales del ciudadano ante este Tribunal Electoral del Estado</w:t>
      </w:r>
      <w:r w:rsidR="008D13EE">
        <w:rPr>
          <w:rFonts w:ascii="Arial" w:hAnsi="Arial" w:cs="Arial"/>
        </w:rPr>
        <w:t xml:space="preserve"> -porque primero debe agotarse la instancia </w:t>
      </w:r>
      <w:proofErr w:type="spellStart"/>
      <w:r w:rsidR="008D13EE">
        <w:rPr>
          <w:rFonts w:ascii="Arial" w:hAnsi="Arial" w:cs="Arial"/>
        </w:rPr>
        <w:t>intrapartidista</w:t>
      </w:r>
      <w:proofErr w:type="spellEnd"/>
      <w:r w:rsidR="008D13EE">
        <w:rPr>
          <w:rFonts w:ascii="Arial" w:hAnsi="Arial" w:cs="Arial"/>
        </w:rPr>
        <w:t>-,</w:t>
      </w:r>
      <w:r w:rsidR="00A70DB1" w:rsidRPr="00194D81">
        <w:rPr>
          <w:rFonts w:ascii="Arial" w:hAnsi="Arial" w:cs="Arial"/>
        </w:rPr>
        <w:t xml:space="preserve"> a fin de garantizar el derecho al acceso a la justicia pronta y expedita prevista por el artículo 17 de la Constitución Federal, lo que procede es </w:t>
      </w:r>
      <w:r w:rsidR="00A70DB1" w:rsidRPr="00194D81">
        <w:rPr>
          <w:rFonts w:ascii="Arial" w:hAnsi="Arial" w:cs="Arial"/>
          <w:b/>
        </w:rPr>
        <w:t xml:space="preserve">reencauzar </w:t>
      </w:r>
      <w:r w:rsidR="00A70DB1" w:rsidRPr="00194D81">
        <w:rPr>
          <w:rFonts w:ascii="Arial" w:hAnsi="Arial" w:cs="Arial"/>
        </w:rPr>
        <w:t xml:space="preserve">la demanda </w:t>
      </w:r>
      <w:r w:rsidR="00A70DB1" w:rsidRPr="00194D81">
        <w:rPr>
          <w:rFonts w:ascii="Arial" w:hAnsi="Arial" w:cs="Arial"/>
          <w:lang w:val="es-ES_tradnl"/>
        </w:rPr>
        <w:t xml:space="preserve">a la </w:t>
      </w:r>
      <w:r w:rsidR="00A70DB1" w:rsidRPr="00194D81">
        <w:rPr>
          <w:rFonts w:ascii="Arial" w:hAnsi="Arial" w:cs="Arial"/>
        </w:rPr>
        <w:t xml:space="preserve">Comisión Nacional de Honestidad y Justicia de MORENA, para que resuelva lo que corresponda conforme a sus atribuciones, </w:t>
      </w:r>
      <w:r w:rsidR="00A70DB1" w:rsidRPr="00194D81">
        <w:rPr>
          <w:rFonts w:ascii="Arial" w:hAnsi="Arial" w:cs="Arial"/>
          <w:b/>
        </w:rPr>
        <w:t>dentro del plazo de cuatro días</w:t>
      </w:r>
      <w:r w:rsidR="00A70DB1" w:rsidRPr="00194D81">
        <w:rPr>
          <w:rFonts w:ascii="Arial" w:hAnsi="Arial" w:cs="Arial"/>
        </w:rPr>
        <w:t xml:space="preserve"> contados a partir de que reciba la notificación vía correo electrónico del presente acuerdo, en la cuenta </w:t>
      </w:r>
      <w:hyperlink r:id="rId8" w:history="1">
        <w:r w:rsidR="00A70DB1" w:rsidRPr="00194D81">
          <w:rPr>
            <w:rStyle w:val="Hipervnculo"/>
            <w:rFonts w:ascii="Arial" w:hAnsi="Arial" w:cs="Arial"/>
            <w:i/>
          </w:rPr>
          <w:t>morenacnhj@gmail.com</w:t>
        </w:r>
      </w:hyperlink>
      <w:r w:rsidR="00A70DB1" w:rsidRPr="00194D81">
        <w:rPr>
          <w:rFonts w:ascii="Arial" w:hAnsi="Arial" w:cs="Arial"/>
          <w:i/>
        </w:rPr>
        <w:t xml:space="preserve">. </w:t>
      </w:r>
    </w:p>
    <w:p w:rsidR="00194D81" w:rsidRDefault="00194D81" w:rsidP="00194D81">
      <w:pPr>
        <w:pStyle w:val="NormalWeb"/>
        <w:tabs>
          <w:tab w:val="left" w:pos="284"/>
        </w:tabs>
        <w:spacing w:line="360" w:lineRule="auto"/>
        <w:ind w:right="-283"/>
        <w:contextualSpacing/>
        <w:mirrorIndents/>
        <w:jc w:val="both"/>
        <w:rPr>
          <w:rFonts w:ascii="Arial" w:hAnsi="Arial" w:cs="Arial"/>
          <w:i/>
        </w:rPr>
      </w:pPr>
    </w:p>
    <w:p w:rsidR="00194D81" w:rsidRDefault="00AB0672" w:rsidP="00194D81">
      <w:pPr>
        <w:pStyle w:val="NormalWeb"/>
        <w:tabs>
          <w:tab w:val="left" w:pos="284"/>
        </w:tabs>
        <w:spacing w:line="360" w:lineRule="auto"/>
        <w:ind w:right="-283"/>
        <w:contextualSpacing/>
        <w:mirrorIndents/>
        <w:jc w:val="both"/>
        <w:rPr>
          <w:rFonts w:ascii="Arial" w:hAnsi="Arial" w:cs="Arial"/>
        </w:rPr>
      </w:pPr>
      <w:r w:rsidRPr="00194D81">
        <w:rPr>
          <w:rFonts w:ascii="Arial" w:hAnsi="Arial" w:cs="Arial"/>
        </w:rPr>
        <w:t>Esta determinación no prejuzga sobre el cumplimiento de los requisitos de procedencia, ya que tal decisión la deberá asumir el órgano partidista al analizar la demanda</w:t>
      </w:r>
      <w:r w:rsidRPr="00194D81">
        <w:rPr>
          <w:rFonts w:ascii="Arial" w:hAnsi="Arial" w:cs="Arial"/>
          <w:vertAlign w:val="superscript"/>
        </w:rPr>
        <w:footnoteReference w:id="4"/>
      </w:r>
      <w:r w:rsidRPr="00194D81">
        <w:rPr>
          <w:rFonts w:ascii="Arial" w:hAnsi="Arial" w:cs="Arial"/>
        </w:rPr>
        <w:t>.</w:t>
      </w:r>
    </w:p>
    <w:p w:rsidR="00194D81" w:rsidRDefault="00194D81" w:rsidP="00194D81">
      <w:pPr>
        <w:pStyle w:val="NormalWeb"/>
        <w:tabs>
          <w:tab w:val="left" w:pos="284"/>
        </w:tabs>
        <w:spacing w:line="360" w:lineRule="auto"/>
        <w:ind w:right="-283"/>
        <w:contextualSpacing/>
        <w:mirrorIndents/>
        <w:jc w:val="both"/>
        <w:rPr>
          <w:rFonts w:ascii="Arial" w:hAnsi="Arial" w:cs="Arial"/>
        </w:rPr>
      </w:pPr>
    </w:p>
    <w:p w:rsidR="00194D81" w:rsidRPr="00194D81" w:rsidRDefault="00A70DB1" w:rsidP="00194D81">
      <w:pPr>
        <w:pStyle w:val="NormalWeb"/>
        <w:tabs>
          <w:tab w:val="left" w:pos="284"/>
        </w:tabs>
        <w:spacing w:line="360" w:lineRule="auto"/>
        <w:ind w:right="-283"/>
        <w:contextualSpacing/>
        <w:mirrorIndents/>
        <w:jc w:val="both"/>
        <w:rPr>
          <w:rFonts w:ascii="Arial" w:hAnsi="Arial" w:cs="Arial"/>
        </w:rPr>
      </w:pPr>
      <w:r w:rsidRPr="00194D81">
        <w:rPr>
          <w:rFonts w:ascii="Arial" w:hAnsi="Arial" w:cs="Arial"/>
        </w:rPr>
        <w:lastRenderedPageBreak/>
        <w:t xml:space="preserve">La Comisión Nacional de Honestidad y Justicia de MORENA deberá informar a este Tribunal sobre el cumplimiento, dentro de las </w:t>
      </w:r>
      <w:r w:rsidRPr="00194D81">
        <w:rPr>
          <w:rFonts w:ascii="Arial" w:hAnsi="Arial" w:cs="Arial"/>
          <w:b/>
        </w:rPr>
        <w:t xml:space="preserve">veinticuatro horas </w:t>
      </w:r>
      <w:r w:rsidRPr="00194D81">
        <w:rPr>
          <w:rFonts w:ascii="Arial" w:hAnsi="Arial" w:cs="Arial"/>
        </w:rPr>
        <w:t xml:space="preserve">posteriores a que emita la resolución y remitir las constancias que así lo acrediten, primero vía correo electrónico a la cuenta </w:t>
      </w:r>
      <w:r w:rsidRPr="00194D81">
        <w:rPr>
          <w:rStyle w:val="Hipervnculo"/>
          <w:rFonts w:ascii="Arial" w:hAnsi="Arial" w:cs="Arial"/>
          <w:bCs/>
          <w:i/>
        </w:rPr>
        <w:t>cumplimientos@teeags.mx</w:t>
      </w:r>
      <w:r w:rsidRPr="00194D81">
        <w:rPr>
          <w:rFonts w:ascii="Arial" w:hAnsi="Arial" w:cs="Arial"/>
          <w:bCs/>
        </w:rPr>
        <w:t xml:space="preserve"> </w:t>
      </w:r>
      <w:r w:rsidRPr="00194D81">
        <w:rPr>
          <w:rFonts w:ascii="Arial" w:hAnsi="Arial" w:cs="Arial"/>
        </w:rPr>
        <w:t xml:space="preserve">y, posteriormente, en original o copia certificada por el medio más rápido; apercibida </w:t>
      </w:r>
      <w:r w:rsidRPr="00194D81">
        <w:rPr>
          <w:rFonts w:ascii="Arial" w:hAnsi="Arial" w:cs="Arial"/>
          <w:lang w:val="es-ES_tradnl"/>
        </w:rPr>
        <w:t xml:space="preserve">que, en caso de incumplir lo ordenado en el plazo señalado, se aplicará alguna de las medidas de apremio a que se refiere el artículo 328 del Código Electoral para el Estado de Aguascalientes. </w:t>
      </w:r>
    </w:p>
    <w:p w:rsidR="00194D81" w:rsidRDefault="00194D81" w:rsidP="00194D81">
      <w:pPr>
        <w:pStyle w:val="NormalWeb"/>
        <w:tabs>
          <w:tab w:val="left" w:pos="284"/>
        </w:tabs>
        <w:spacing w:line="360" w:lineRule="auto"/>
        <w:ind w:right="-283"/>
        <w:contextualSpacing/>
        <w:mirrorIndents/>
        <w:jc w:val="both"/>
        <w:rPr>
          <w:rFonts w:ascii="Arial" w:hAnsi="Arial" w:cs="Arial"/>
          <w:lang w:val="es-ES_tradnl"/>
        </w:rPr>
      </w:pPr>
    </w:p>
    <w:p w:rsidR="00194D81" w:rsidRDefault="0084795A" w:rsidP="00194D81">
      <w:pPr>
        <w:pStyle w:val="NormalWeb"/>
        <w:tabs>
          <w:tab w:val="left" w:pos="284"/>
        </w:tabs>
        <w:spacing w:line="360" w:lineRule="auto"/>
        <w:ind w:right="-283"/>
        <w:contextualSpacing/>
        <w:mirrorIndents/>
        <w:jc w:val="both"/>
        <w:rPr>
          <w:rFonts w:ascii="Arial" w:hAnsi="Arial" w:cs="Arial"/>
          <w:lang w:val="es-ES_tradnl"/>
        </w:rPr>
      </w:pPr>
      <w:r w:rsidRPr="00194D81">
        <w:rPr>
          <w:rFonts w:ascii="Arial" w:hAnsi="Arial" w:cs="Arial"/>
        </w:rPr>
        <w:t>Por lo tanto, deberán desglosarse del expediente</w:t>
      </w:r>
      <w:r w:rsidR="00255091" w:rsidRPr="00194D81">
        <w:rPr>
          <w:rFonts w:ascii="Arial" w:hAnsi="Arial" w:cs="Arial"/>
        </w:rPr>
        <w:t xml:space="preserve"> en que se actúa el escrito de demanda y los anexos que a la misma acompañó el promovente,</w:t>
      </w:r>
      <w:r w:rsidR="00F94BAF" w:rsidRPr="00194D81">
        <w:rPr>
          <w:rFonts w:ascii="Arial" w:hAnsi="Arial" w:cs="Arial"/>
        </w:rPr>
        <w:t xml:space="preserve"> </w:t>
      </w:r>
      <w:r w:rsidRPr="00194D81">
        <w:rPr>
          <w:rFonts w:ascii="Arial" w:hAnsi="Arial" w:cs="Arial"/>
        </w:rPr>
        <w:t>para que sean remitidas al órgano de justicia interna de</w:t>
      </w:r>
      <w:r w:rsidR="00AB0672" w:rsidRPr="00194D81">
        <w:rPr>
          <w:rFonts w:ascii="Arial" w:hAnsi="Arial" w:cs="Arial"/>
        </w:rPr>
        <w:t xml:space="preserve"> MORENA,</w:t>
      </w:r>
      <w:r w:rsidR="00255091" w:rsidRPr="00194D81">
        <w:rPr>
          <w:rFonts w:ascii="Arial" w:hAnsi="Arial" w:cs="Arial"/>
        </w:rPr>
        <w:t xml:space="preserve"> previa copia certificada que de los mismos se deje en autos. </w:t>
      </w:r>
    </w:p>
    <w:p w:rsidR="00194D81" w:rsidRDefault="00194D81" w:rsidP="004210D6">
      <w:pPr>
        <w:pStyle w:val="NormalWeb"/>
        <w:tabs>
          <w:tab w:val="left" w:pos="284"/>
        </w:tabs>
        <w:spacing w:line="360" w:lineRule="auto"/>
        <w:ind w:right="-283"/>
        <w:contextualSpacing/>
        <w:mirrorIndents/>
        <w:jc w:val="both"/>
        <w:rPr>
          <w:rFonts w:ascii="Arial" w:hAnsi="Arial" w:cs="Arial"/>
          <w:lang w:val="es-ES_tradnl"/>
        </w:rPr>
      </w:pPr>
    </w:p>
    <w:p w:rsidR="004210D6" w:rsidRDefault="004210D6" w:rsidP="004210D6">
      <w:pPr>
        <w:pStyle w:val="NormalWeb"/>
        <w:tabs>
          <w:tab w:val="left" w:pos="284"/>
        </w:tabs>
        <w:spacing w:line="360" w:lineRule="auto"/>
        <w:ind w:right="-283"/>
        <w:contextualSpacing/>
        <w:mirrorIndents/>
        <w:jc w:val="both"/>
        <w:rPr>
          <w:rFonts w:ascii="Arial" w:hAnsi="Arial" w:cs="Arial"/>
          <w:lang w:val="es-ES_tradnl"/>
        </w:rPr>
      </w:pPr>
    </w:p>
    <w:p w:rsidR="00194D81" w:rsidRDefault="00255091" w:rsidP="00194D81">
      <w:pPr>
        <w:pStyle w:val="NormalWeb"/>
        <w:numPr>
          <w:ilvl w:val="0"/>
          <w:numId w:val="1"/>
        </w:numPr>
        <w:tabs>
          <w:tab w:val="left" w:pos="284"/>
        </w:tabs>
        <w:spacing w:line="360" w:lineRule="auto"/>
        <w:ind w:right="-283"/>
        <w:contextualSpacing/>
        <w:mirrorIndents/>
        <w:jc w:val="both"/>
        <w:rPr>
          <w:rFonts w:ascii="Arial" w:hAnsi="Arial" w:cs="Arial"/>
          <w:lang w:val="es-ES_tradnl"/>
        </w:rPr>
      </w:pPr>
      <w:r w:rsidRPr="00194D81">
        <w:rPr>
          <w:rFonts w:ascii="Arial" w:hAnsi="Arial" w:cs="Arial"/>
          <w:b/>
        </w:rPr>
        <w:t xml:space="preserve">PUNTOS DE </w:t>
      </w:r>
      <w:r w:rsidR="0084795A" w:rsidRPr="00194D81">
        <w:rPr>
          <w:rFonts w:ascii="Arial" w:hAnsi="Arial" w:cs="Arial"/>
          <w:b/>
        </w:rPr>
        <w:t>ACUERDO</w:t>
      </w:r>
      <w:r w:rsidRPr="00194D81">
        <w:rPr>
          <w:rFonts w:ascii="Arial" w:hAnsi="Arial" w:cs="Arial"/>
          <w:b/>
        </w:rPr>
        <w:t>:</w:t>
      </w:r>
    </w:p>
    <w:p w:rsidR="00194D81" w:rsidRDefault="00194D81" w:rsidP="00194D81">
      <w:pPr>
        <w:pStyle w:val="NormalWeb"/>
        <w:tabs>
          <w:tab w:val="left" w:pos="284"/>
        </w:tabs>
        <w:spacing w:line="360" w:lineRule="auto"/>
        <w:ind w:right="-283"/>
        <w:contextualSpacing/>
        <w:mirrorIndents/>
        <w:jc w:val="both"/>
        <w:rPr>
          <w:rFonts w:ascii="Arial" w:hAnsi="Arial" w:cs="Arial"/>
          <w:b/>
          <w:color w:val="000000" w:themeColor="text1"/>
        </w:rPr>
      </w:pPr>
    </w:p>
    <w:p w:rsidR="00194D81" w:rsidRPr="00C80EE1" w:rsidRDefault="0084795A" w:rsidP="00194D81">
      <w:pPr>
        <w:pStyle w:val="NormalWeb"/>
        <w:tabs>
          <w:tab w:val="left" w:pos="284"/>
        </w:tabs>
        <w:spacing w:line="360" w:lineRule="auto"/>
        <w:ind w:right="-283"/>
        <w:contextualSpacing/>
        <w:mirrorIndents/>
        <w:jc w:val="both"/>
        <w:rPr>
          <w:rFonts w:ascii="Arial" w:hAnsi="Arial" w:cs="Arial"/>
          <w:lang w:val="es-ES_tradnl"/>
        </w:rPr>
      </w:pPr>
      <w:r w:rsidRPr="00194D81">
        <w:rPr>
          <w:rFonts w:ascii="Arial" w:hAnsi="Arial" w:cs="Arial"/>
          <w:b/>
          <w:color w:val="000000" w:themeColor="text1"/>
        </w:rPr>
        <w:t xml:space="preserve">PRIMERO. </w:t>
      </w:r>
      <w:r w:rsidRPr="00194D81">
        <w:rPr>
          <w:rFonts w:ascii="Arial" w:hAnsi="Arial" w:cs="Arial"/>
        </w:rPr>
        <w:t xml:space="preserve">Es improcedente conocer vía per </w:t>
      </w:r>
      <w:proofErr w:type="spellStart"/>
      <w:r w:rsidRPr="00194D81">
        <w:rPr>
          <w:rFonts w:ascii="Arial" w:hAnsi="Arial" w:cs="Arial"/>
        </w:rPr>
        <w:t>saltum</w:t>
      </w:r>
      <w:proofErr w:type="spellEnd"/>
      <w:r w:rsidRPr="00194D81">
        <w:rPr>
          <w:rFonts w:ascii="Arial" w:hAnsi="Arial" w:cs="Arial"/>
        </w:rPr>
        <w:t xml:space="preserve"> </w:t>
      </w:r>
      <w:r w:rsidR="00255091" w:rsidRPr="00194D81">
        <w:rPr>
          <w:rFonts w:ascii="Arial" w:hAnsi="Arial" w:cs="Arial"/>
        </w:rPr>
        <w:t>el</w:t>
      </w:r>
      <w:r w:rsidRPr="00194D81">
        <w:rPr>
          <w:rFonts w:ascii="Arial" w:hAnsi="Arial" w:cs="Arial"/>
        </w:rPr>
        <w:t xml:space="preserve"> juicio para la protección de los d</w:t>
      </w:r>
      <w:r w:rsidR="00255091" w:rsidRPr="00194D81">
        <w:rPr>
          <w:rFonts w:ascii="Arial" w:hAnsi="Arial" w:cs="Arial"/>
        </w:rPr>
        <w:t>er</w:t>
      </w:r>
      <w:r w:rsidRPr="00194D81">
        <w:rPr>
          <w:rFonts w:ascii="Arial" w:hAnsi="Arial" w:cs="Arial"/>
        </w:rPr>
        <w:t>echos político-electorales del ciudadano</w:t>
      </w:r>
      <w:r w:rsidR="00255091" w:rsidRPr="00194D81">
        <w:rPr>
          <w:rFonts w:ascii="Arial" w:hAnsi="Arial" w:cs="Arial"/>
        </w:rPr>
        <w:t xml:space="preserve">, promovido por </w:t>
      </w:r>
      <w:bookmarkStart w:id="2" w:name="_GoBack"/>
      <w:r w:rsidR="00516B90" w:rsidRPr="00C80EE1">
        <w:rPr>
          <w:rFonts w:ascii="Arial" w:hAnsi="Arial" w:cs="Arial"/>
          <w:lang w:val="es-ES_tradnl" w:eastAsia="es-ES"/>
        </w:rPr>
        <w:t>Francisco Arturo Federico Ávila Anaya.</w:t>
      </w:r>
    </w:p>
    <w:bookmarkEnd w:id="2"/>
    <w:p w:rsidR="00194D81" w:rsidRDefault="00194D81" w:rsidP="00194D81">
      <w:pPr>
        <w:pStyle w:val="NormalWeb"/>
        <w:tabs>
          <w:tab w:val="left" w:pos="284"/>
        </w:tabs>
        <w:spacing w:line="360" w:lineRule="auto"/>
        <w:ind w:right="-283"/>
        <w:contextualSpacing/>
        <w:mirrorIndents/>
        <w:jc w:val="both"/>
        <w:rPr>
          <w:rFonts w:ascii="Arial" w:hAnsi="Arial" w:cs="Arial"/>
          <w:lang w:val="es-ES_tradnl"/>
        </w:rPr>
      </w:pPr>
    </w:p>
    <w:p w:rsidR="00FB074B" w:rsidRDefault="00255091" w:rsidP="00FB074B">
      <w:pPr>
        <w:pStyle w:val="NormalWeb"/>
        <w:tabs>
          <w:tab w:val="left" w:pos="284"/>
        </w:tabs>
        <w:spacing w:line="360" w:lineRule="auto"/>
        <w:ind w:right="-283"/>
        <w:contextualSpacing/>
        <w:mirrorIndents/>
        <w:jc w:val="both"/>
        <w:rPr>
          <w:rFonts w:ascii="Arial" w:hAnsi="Arial" w:cs="Arial"/>
          <w:lang w:val="es-ES_tradnl"/>
        </w:rPr>
      </w:pPr>
      <w:r w:rsidRPr="00194D81">
        <w:rPr>
          <w:rFonts w:ascii="Arial" w:hAnsi="Arial" w:cs="Arial"/>
          <w:b/>
        </w:rPr>
        <w:t>SEGUNDO</w:t>
      </w:r>
      <w:r w:rsidR="0084795A" w:rsidRPr="00194D81">
        <w:rPr>
          <w:rFonts w:ascii="Arial" w:hAnsi="Arial" w:cs="Arial"/>
          <w:b/>
        </w:rPr>
        <w:t>.</w:t>
      </w:r>
      <w:r w:rsidR="0084795A" w:rsidRPr="00194D81">
        <w:rPr>
          <w:rFonts w:ascii="Arial" w:hAnsi="Arial" w:cs="Arial"/>
        </w:rPr>
        <w:t xml:space="preserve"> Se </w:t>
      </w:r>
      <w:r w:rsidR="0084795A" w:rsidRPr="00194D81">
        <w:rPr>
          <w:rFonts w:ascii="Arial" w:hAnsi="Arial" w:cs="Arial"/>
          <w:b/>
        </w:rPr>
        <w:t xml:space="preserve">reencauza </w:t>
      </w:r>
      <w:r w:rsidR="0084795A" w:rsidRPr="00194D81">
        <w:rPr>
          <w:rFonts w:ascii="Arial" w:hAnsi="Arial" w:cs="Arial"/>
        </w:rPr>
        <w:t xml:space="preserve">el presente medio de impugnación </w:t>
      </w:r>
      <w:r w:rsidRPr="00194D81">
        <w:rPr>
          <w:rFonts w:ascii="Arial" w:hAnsi="Arial" w:cs="Arial"/>
        </w:rPr>
        <w:t>a la</w:t>
      </w:r>
      <w:r w:rsidRPr="00194D81">
        <w:rPr>
          <w:rFonts w:ascii="Arial" w:hAnsi="Arial" w:cs="Arial"/>
          <w:b/>
        </w:rPr>
        <w:t xml:space="preserve"> Comisión Nacional de Hon</w:t>
      </w:r>
      <w:r w:rsidR="00AB0672" w:rsidRPr="00194D81">
        <w:rPr>
          <w:rFonts w:ascii="Arial" w:hAnsi="Arial" w:cs="Arial"/>
          <w:b/>
        </w:rPr>
        <w:t>estidad y Justicia de MORENA</w:t>
      </w:r>
      <w:r w:rsidR="0084795A" w:rsidRPr="00194D81">
        <w:rPr>
          <w:rFonts w:ascii="Arial" w:hAnsi="Arial" w:cs="Arial"/>
        </w:rPr>
        <w:t xml:space="preserve">, por ser el órgano competente para su conocimiento y resolución, en los términos precisados en </w:t>
      </w:r>
      <w:r w:rsidRPr="00194D81">
        <w:rPr>
          <w:rFonts w:ascii="Arial" w:hAnsi="Arial" w:cs="Arial"/>
        </w:rPr>
        <w:t xml:space="preserve">este acuerdo. </w:t>
      </w:r>
    </w:p>
    <w:p w:rsidR="00FB074B" w:rsidRDefault="00FB074B" w:rsidP="00FB074B">
      <w:pPr>
        <w:pStyle w:val="NormalWeb"/>
        <w:tabs>
          <w:tab w:val="left" w:pos="284"/>
        </w:tabs>
        <w:spacing w:line="360" w:lineRule="auto"/>
        <w:ind w:right="-283"/>
        <w:contextualSpacing/>
        <w:mirrorIndents/>
        <w:jc w:val="both"/>
        <w:rPr>
          <w:rFonts w:ascii="Arial" w:hAnsi="Arial" w:cs="Arial"/>
          <w:lang w:val="es-ES_tradnl"/>
        </w:rPr>
      </w:pPr>
    </w:p>
    <w:p w:rsidR="0084795A" w:rsidRPr="00FB074B" w:rsidRDefault="00255091" w:rsidP="00FB074B">
      <w:pPr>
        <w:pStyle w:val="NormalWeb"/>
        <w:tabs>
          <w:tab w:val="left" w:pos="284"/>
        </w:tabs>
        <w:spacing w:line="360" w:lineRule="auto"/>
        <w:ind w:right="-283"/>
        <w:contextualSpacing/>
        <w:mirrorIndents/>
        <w:jc w:val="both"/>
        <w:rPr>
          <w:rFonts w:ascii="Arial" w:hAnsi="Arial" w:cs="Arial"/>
          <w:lang w:val="es-ES_tradnl"/>
        </w:rPr>
      </w:pPr>
      <w:r w:rsidRPr="00194D81">
        <w:rPr>
          <w:rFonts w:ascii="Arial" w:hAnsi="Arial" w:cs="Arial"/>
          <w:b/>
        </w:rPr>
        <w:t>TERCERO</w:t>
      </w:r>
      <w:r w:rsidR="0084795A" w:rsidRPr="00194D81">
        <w:rPr>
          <w:rFonts w:ascii="Arial" w:hAnsi="Arial" w:cs="Arial"/>
          <w:b/>
        </w:rPr>
        <w:t>.</w:t>
      </w:r>
      <w:r w:rsidR="0084795A" w:rsidRPr="00194D81">
        <w:rPr>
          <w:rFonts w:ascii="Arial" w:hAnsi="Arial" w:cs="Arial"/>
        </w:rPr>
        <w:t xml:space="preserve"> Se ordena a </w:t>
      </w:r>
      <w:r w:rsidRPr="00194D81">
        <w:rPr>
          <w:rFonts w:ascii="Arial" w:hAnsi="Arial" w:cs="Arial"/>
        </w:rPr>
        <w:t>la</w:t>
      </w:r>
      <w:r w:rsidRPr="00194D81">
        <w:rPr>
          <w:rFonts w:ascii="Arial" w:hAnsi="Arial" w:cs="Arial"/>
          <w:b/>
        </w:rPr>
        <w:t xml:space="preserve"> Comisión Nacional de Hon</w:t>
      </w:r>
      <w:r w:rsidR="00AB0672" w:rsidRPr="00194D81">
        <w:rPr>
          <w:rFonts w:ascii="Arial" w:hAnsi="Arial" w:cs="Arial"/>
          <w:b/>
        </w:rPr>
        <w:t>estidad y Justicia de MORENA</w:t>
      </w:r>
      <w:r w:rsidR="0084795A" w:rsidRPr="00194D81">
        <w:rPr>
          <w:rFonts w:ascii="Arial" w:hAnsi="Arial" w:cs="Arial"/>
        </w:rPr>
        <w:t xml:space="preserve">, dar cumplimiento a lo ordenado por este Tribunal, en </w:t>
      </w:r>
      <w:r w:rsidRPr="00194D81">
        <w:rPr>
          <w:rFonts w:ascii="Arial" w:hAnsi="Arial" w:cs="Arial"/>
        </w:rPr>
        <w:t xml:space="preserve">los términos y plazos precisados en </w:t>
      </w:r>
      <w:r w:rsidR="008E51C8" w:rsidRPr="00194D81">
        <w:rPr>
          <w:rFonts w:ascii="Arial" w:hAnsi="Arial" w:cs="Arial"/>
        </w:rPr>
        <w:t>el presente acuerdo.</w:t>
      </w:r>
      <w:r w:rsidRPr="00194D81">
        <w:rPr>
          <w:rFonts w:ascii="Arial" w:hAnsi="Arial" w:cs="Arial"/>
        </w:rPr>
        <w:t xml:space="preserve"> </w:t>
      </w:r>
    </w:p>
    <w:p w:rsidR="00194D81" w:rsidRDefault="00194D81" w:rsidP="00194D81">
      <w:pPr>
        <w:pStyle w:val="NormalWeb"/>
        <w:spacing w:line="360" w:lineRule="auto"/>
        <w:contextualSpacing/>
        <w:mirrorIndents/>
        <w:jc w:val="both"/>
        <w:rPr>
          <w:rFonts w:ascii="Arial" w:hAnsi="Arial" w:cs="Arial"/>
          <w:b/>
        </w:rPr>
      </w:pPr>
    </w:p>
    <w:p w:rsidR="00194D81" w:rsidRDefault="0084795A" w:rsidP="00194D81">
      <w:pPr>
        <w:pStyle w:val="NormalWeb"/>
        <w:spacing w:line="360" w:lineRule="auto"/>
        <w:contextualSpacing/>
        <w:mirrorIndents/>
        <w:jc w:val="both"/>
        <w:rPr>
          <w:rFonts w:ascii="Arial" w:hAnsi="Arial" w:cs="Arial"/>
        </w:rPr>
      </w:pPr>
      <w:r w:rsidRPr="00194D81">
        <w:rPr>
          <w:rFonts w:ascii="Arial" w:hAnsi="Arial" w:cs="Arial"/>
          <w:b/>
        </w:rPr>
        <w:t>NOTIFIQUESE.</w:t>
      </w:r>
      <w:r w:rsidRPr="00194D81">
        <w:rPr>
          <w:rFonts w:ascii="Arial" w:hAnsi="Arial" w:cs="Arial"/>
        </w:rPr>
        <w:t xml:space="preserve"> En su oportunidad, archívese el presente expediente como asunto concluido</w:t>
      </w:r>
      <w:r w:rsidR="00255091" w:rsidRPr="00194D81">
        <w:rPr>
          <w:rFonts w:ascii="Arial" w:hAnsi="Arial" w:cs="Arial"/>
        </w:rPr>
        <w:t xml:space="preserve">. </w:t>
      </w:r>
    </w:p>
    <w:p w:rsidR="00194D81" w:rsidRDefault="00194D81" w:rsidP="00194D81">
      <w:pPr>
        <w:pStyle w:val="NormalWeb"/>
        <w:spacing w:line="360" w:lineRule="auto"/>
        <w:contextualSpacing/>
        <w:mirrorIndents/>
        <w:jc w:val="both"/>
        <w:rPr>
          <w:rFonts w:ascii="Arial" w:hAnsi="Arial" w:cs="Arial"/>
        </w:rPr>
      </w:pPr>
    </w:p>
    <w:p w:rsidR="00D70EFD" w:rsidRPr="00194D81" w:rsidRDefault="00D70EFD" w:rsidP="00194D81">
      <w:pPr>
        <w:pStyle w:val="NormalWeb"/>
        <w:spacing w:line="360" w:lineRule="auto"/>
        <w:contextualSpacing/>
        <w:mirrorIndents/>
        <w:jc w:val="both"/>
        <w:rPr>
          <w:rFonts w:ascii="Arial" w:hAnsi="Arial" w:cs="Arial"/>
        </w:rPr>
      </w:pPr>
      <w:r w:rsidRPr="00194D81">
        <w:rPr>
          <w:rFonts w:ascii="Arial" w:hAnsi="Arial" w:cs="Arial"/>
        </w:rPr>
        <w:t>Así lo acordó el Pleno del Tribunal Electoral del Estado de Aguascalientes, ante el Secretario General de Acuerdos, quien autoriza y da fe.</w:t>
      </w:r>
    </w:p>
    <w:p w:rsidR="00D70EFD" w:rsidRDefault="00D70EFD" w:rsidP="00D70EFD">
      <w:pPr>
        <w:pStyle w:val="NormalWeb"/>
        <w:spacing w:line="360" w:lineRule="auto"/>
        <w:contextualSpacing/>
        <w:mirrorIndents/>
        <w:jc w:val="both"/>
        <w:rPr>
          <w:rFonts w:ascii="Arial" w:hAnsi="Arial" w:cs="Arial"/>
        </w:rPr>
      </w:pPr>
    </w:p>
    <w:p w:rsidR="004210D6" w:rsidRPr="00194D81" w:rsidRDefault="004210D6" w:rsidP="00D70EFD">
      <w:pPr>
        <w:pStyle w:val="NormalWeb"/>
        <w:spacing w:line="360" w:lineRule="auto"/>
        <w:contextualSpacing/>
        <w:mirrorIndents/>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D70EFD" w:rsidRPr="00194D81" w:rsidTr="00F6286E">
        <w:trPr>
          <w:trHeight w:val="1092"/>
        </w:trPr>
        <w:tc>
          <w:tcPr>
            <w:tcW w:w="8810" w:type="dxa"/>
            <w:gridSpan w:val="2"/>
            <w:hideMark/>
          </w:tcPr>
          <w:p w:rsidR="00D70EFD" w:rsidRPr="00194D81" w:rsidRDefault="00D70EFD" w:rsidP="004210D6">
            <w:pPr>
              <w:pStyle w:val="NormalWeb"/>
              <w:spacing w:line="360" w:lineRule="auto"/>
              <w:ind w:left="1134"/>
              <w:contextualSpacing/>
              <w:mirrorIndents/>
              <w:jc w:val="center"/>
              <w:rPr>
                <w:rFonts w:ascii="Arial" w:hAnsi="Arial" w:cs="Arial"/>
                <w:b/>
                <w:bCs/>
                <w:lang w:val="es-ES"/>
              </w:rPr>
            </w:pPr>
            <w:r w:rsidRPr="00194D81">
              <w:rPr>
                <w:rFonts w:ascii="Arial" w:hAnsi="Arial" w:cs="Arial"/>
                <w:b/>
                <w:bCs/>
                <w:lang w:val="es-ES"/>
              </w:rPr>
              <w:lastRenderedPageBreak/>
              <w:t>MAGISTRADO PRESIDENTE</w:t>
            </w:r>
          </w:p>
          <w:p w:rsidR="00D70EFD" w:rsidRPr="00194D81" w:rsidRDefault="00D70EFD" w:rsidP="00EE5185">
            <w:pPr>
              <w:pStyle w:val="NormalWeb"/>
              <w:spacing w:line="360" w:lineRule="auto"/>
              <w:ind w:left="1134"/>
              <w:contextualSpacing/>
              <w:mirrorIndents/>
              <w:jc w:val="center"/>
              <w:rPr>
                <w:rFonts w:ascii="Arial" w:hAnsi="Arial" w:cs="Arial"/>
                <w:b/>
                <w:bCs/>
                <w:lang w:val="es-ES"/>
              </w:rPr>
            </w:pPr>
          </w:p>
          <w:p w:rsidR="00D70EFD" w:rsidRPr="00194D81" w:rsidRDefault="00D70EFD" w:rsidP="00EE5185">
            <w:pPr>
              <w:pStyle w:val="NormalWeb"/>
              <w:spacing w:line="360" w:lineRule="auto"/>
              <w:ind w:left="1134"/>
              <w:contextualSpacing/>
              <w:mirrorIndents/>
              <w:jc w:val="center"/>
              <w:rPr>
                <w:rFonts w:ascii="Arial" w:hAnsi="Arial" w:cs="Arial"/>
                <w:b/>
                <w:bCs/>
                <w:lang w:val="es-ES"/>
              </w:rPr>
            </w:pPr>
            <w:r w:rsidRPr="00194D81">
              <w:rPr>
                <w:rFonts w:ascii="Arial" w:hAnsi="Arial" w:cs="Arial"/>
                <w:b/>
                <w:bCs/>
                <w:lang w:val="es-ES"/>
              </w:rPr>
              <w:t>HÉCTOR SALVADOR HERNÁNDEZ GALLEGOS</w:t>
            </w:r>
          </w:p>
          <w:p w:rsidR="00D70EFD" w:rsidRPr="00194D81" w:rsidRDefault="00D70EFD" w:rsidP="00EE5185">
            <w:pPr>
              <w:pStyle w:val="NormalWeb"/>
              <w:spacing w:line="360" w:lineRule="auto"/>
              <w:ind w:left="1134"/>
              <w:contextualSpacing/>
              <w:mirrorIndents/>
              <w:jc w:val="center"/>
              <w:rPr>
                <w:rFonts w:ascii="Arial" w:hAnsi="Arial" w:cs="Arial"/>
                <w:b/>
                <w:bCs/>
                <w:lang w:val="es-ES"/>
              </w:rPr>
            </w:pPr>
          </w:p>
          <w:p w:rsidR="00D70EFD" w:rsidRPr="00194D81" w:rsidRDefault="00D70EFD" w:rsidP="00EE5185">
            <w:pPr>
              <w:pStyle w:val="NormalWeb"/>
              <w:spacing w:line="360" w:lineRule="auto"/>
              <w:ind w:left="1134"/>
              <w:contextualSpacing/>
              <w:mirrorIndents/>
              <w:jc w:val="center"/>
              <w:rPr>
                <w:rFonts w:ascii="Arial" w:hAnsi="Arial" w:cs="Arial"/>
                <w:b/>
                <w:bCs/>
                <w:lang w:val="es-ES"/>
              </w:rPr>
            </w:pPr>
          </w:p>
        </w:tc>
      </w:tr>
      <w:tr w:rsidR="00D70EFD" w:rsidRPr="00194D81" w:rsidTr="00F6286E">
        <w:tblPrEx>
          <w:tblLook w:val="0000" w:firstRow="0" w:lastRow="0" w:firstColumn="0" w:lastColumn="0" w:noHBand="0" w:noVBand="0"/>
        </w:tblPrEx>
        <w:trPr>
          <w:trHeight w:val="1434"/>
        </w:trPr>
        <w:tc>
          <w:tcPr>
            <w:tcW w:w="4380" w:type="dxa"/>
          </w:tcPr>
          <w:p w:rsidR="00D70EFD" w:rsidRPr="00194D81" w:rsidRDefault="00D70EFD" w:rsidP="00EE5185">
            <w:pPr>
              <w:pStyle w:val="NormalWeb"/>
              <w:spacing w:line="360" w:lineRule="auto"/>
              <w:ind w:left="1134"/>
              <w:contextualSpacing/>
              <w:mirrorIndents/>
              <w:jc w:val="center"/>
              <w:rPr>
                <w:rFonts w:ascii="Arial" w:hAnsi="Arial" w:cs="Arial"/>
                <w:b/>
                <w:bCs/>
              </w:rPr>
            </w:pPr>
            <w:r w:rsidRPr="00194D81">
              <w:rPr>
                <w:rFonts w:ascii="Arial" w:hAnsi="Arial" w:cs="Arial"/>
                <w:b/>
                <w:bCs/>
              </w:rPr>
              <w:t>MAGISTRADA</w:t>
            </w:r>
          </w:p>
          <w:p w:rsidR="00D70EFD" w:rsidRPr="00194D81" w:rsidRDefault="00D70EFD" w:rsidP="00EE5185">
            <w:pPr>
              <w:pStyle w:val="NormalWeb"/>
              <w:spacing w:line="360" w:lineRule="auto"/>
              <w:ind w:left="1134"/>
              <w:contextualSpacing/>
              <w:mirrorIndents/>
              <w:jc w:val="center"/>
              <w:rPr>
                <w:rFonts w:ascii="Arial" w:hAnsi="Arial" w:cs="Arial"/>
                <w:b/>
                <w:bCs/>
              </w:rPr>
            </w:pPr>
          </w:p>
          <w:p w:rsidR="00D70EFD" w:rsidRPr="00194D81" w:rsidRDefault="00D70EFD" w:rsidP="00EE5185">
            <w:pPr>
              <w:pStyle w:val="NormalWeb"/>
              <w:spacing w:line="360" w:lineRule="auto"/>
              <w:ind w:left="1134"/>
              <w:contextualSpacing/>
              <w:mirrorIndents/>
              <w:jc w:val="center"/>
              <w:rPr>
                <w:rFonts w:ascii="Arial" w:hAnsi="Arial" w:cs="Arial"/>
                <w:b/>
                <w:bCs/>
              </w:rPr>
            </w:pPr>
          </w:p>
          <w:p w:rsidR="00D70EFD" w:rsidRPr="00194D81" w:rsidRDefault="00D70EFD" w:rsidP="00EE5185">
            <w:pPr>
              <w:pStyle w:val="NormalWeb"/>
              <w:spacing w:line="360" w:lineRule="auto"/>
              <w:ind w:left="1134"/>
              <w:contextualSpacing/>
              <w:mirrorIndents/>
              <w:jc w:val="center"/>
              <w:rPr>
                <w:rFonts w:ascii="Arial" w:hAnsi="Arial" w:cs="Arial"/>
                <w:b/>
                <w:bCs/>
              </w:rPr>
            </w:pPr>
            <w:r w:rsidRPr="00194D81">
              <w:rPr>
                <w:rFonts w:ascii="Arial" w:hAnsi="Arial" w:cs="Arial"/>
                <w:b/>
                <w:bCs/>
                <w:lang w:val="es-ES"/>
              </w:rPr>
              <w:t>CLAUDIA ELOISA DÍAZ DE LEÓN GONZÁLEZ</w:t>
            </w:r>
          </w:p>
        </w:tc>
        <w:tc>
          <w:tcPr>
            <w:tcW w:w="4430" w:type="dxa"/>
          </w:tcPr>
          <w:p w:rsidR="00D70EFD" w:rsidRPr="00194D81" w:rsidRDefault="00D70EFD" w:rsidP="00EE5185">
            <w:pPr>
              <w:pStyle w:val="NormalWeb"/>
              <w:spacing w:line="360" w:lineRule="auto"/>
              <w:contextualSpacing/>
              <w:mirrorIndents/>
              <w:jc w:val="center"/>
              <w:rPr>
                <w:rFonts w:ascii="Arial" w:hAnsi="Arial" w:cs="Arial"/>
                <w:b/>
                <w:bCs/>
              </w:rPr>
            </w:pPr>
            <w:r w:rsidRPr="00194D81">
              <w:rPr>
                <w:rFonts w:ascii="Arial" w:hAnsi="Arial" w:cs="Arial"/>
                <w:b/>
                <w:bCs/>
              </w:rPr>
              <w:t>MAGISTRADO</w:t>
            </w:r>
          </w:p>
          <w:p w:rsidR="00D70EFD" w:rsidRPr="00194D81" w:rsidRDefault="00D70EFD" w:rsidP="00EE5185">
            <w:pPr>
              <w:pStyle w:val="NormalWeb"/>
              <w:spacing w:line="360" w:lineRule="auto"/>
              <w:ind w:left="1134"/>
              <w:contextualSpacing/>
              <w:mirrorIndents/>
              <w:jc w:val="center"/>
              <w:rPr>
                <w:rFonts w:ascii="Arial" w:hAnsi="Arial" w:cs="Arial"/>
                <w:b/>
                <w:bCs/>
              </w:rPr>
            </w:pPr>
          </w:p>
          <w:p w:rsidR="00D70EFD" w:rsidRPr="00194D81" w:rsidRDefault="00D70EFD" w:rsidP="00EE5185">
            <w:pPr>
              <w:pStyle w:val="NormalWeb"/>
              <w:spacing w:line="360" w:lineRule="auto"/>
              <w:contextualSpacing/>
              <w:mirrorIndents/>
              <w:jc w:val="center"/>
              <w:rPr>
                <w:rFonts w:ascii="Arial" w:hAnsi="Arial" w:cs="Arial"/>
                <w:b/>
                <w:bCs/>
              </w:rPr>
            </w:pPr>
          </w:p>
          <w:p w:rsidR="00D70EFD" w:rsidRPr="00194D81" w:rsidRDefault="00D70EFD" w:rsidP="00EE5185">
            <w:pPr>
              <w:pStyle w:val="NormalWeb"/>
              <w:spacing w:line="360" w:lineRule="auto"/>
              <w:contextualSpacing/>
              <w:mirrorIndents/>
              <w:jc w:val="center"/>
              <w:rPr>
                <w:rFonts w:ascii="Arial" w:hAnsi="Arial" w:cs="Arial"/>
                <w:b/>
                <w:bCs/>
              </w:rPr>
            </w:pPr>
            <w:r w:rsidRPr="00194D81">
              <w:rPr>
                <w:rFonts w:ascii="Arial" w:hAnsi="Arial" w:cs="Arial"/>
                <w:b/>
                <w:bCs/>
              </w:rPr>
              <w:t>JORGE RAMÓN DÍAZ DE LEÓN</w:t>
            </w:r>
          </w:p>
          <w:p w:rsidR="00D70EFD" w:rsidRPr="00194D81" w:rsidRDefault="00D70EFD" w:rsidP="00EE5185">
            <w:pPr>
              <w:pStyle w:val="NormalWeb"/>
              <w:spacing w:line="360" w:lineRule="auto"/>
              <w:contextualSpacing/>
              <w:mirrorIndents/>
              <w:jc w:val="center"/>
              <w:rPr>
                <w:rFonts w:ascii="Arial" w:hAnsi="Arial" w:cs="Arial"/>
                <w:b/>
                <w:bCs/>
              </w:rPr>
            </w:pPr>
            <w:r w:rsidRPr="00194D81">
              <w:rPr>
                <w:rFonts w:ascii="Arial" w:hAnsi="Arial" w:cs="Arial"/>
                <w:b/>
                <w:bCs/>
              </w:rPr>
              <w:t>GUTIÉRREZ</w:t>
            </w:r>
          </w:p>
          <w:p w:rsidR="00D70EFD" w:rsidRPr="00194D81" w:rsidRDefault="00D70EFD" w:rsidP="00EE5185">
            <w:pPr>
              <w:pStyle w:val="NormalWeb"/>
              <w:spacing w:line="360" w:lineRule="auto"/>
              <w:contextualSpacing/>
              <w:mirrorIndents/>
              <w:jc w:val="center"/>
              <w:rPr>
                <w:rFonts w:ascii="Arial" w:hAnsi="Arial" w:cs="Arial"/>
                <w:b/>
                <w:bCs/>
              </w:rPr>
            </w:pPr>
          </w:p>
        </w:tc>
      </w:tr>
      <w:tr w:rsidR="00D70EFD" w:rsidRPr="00194D81" w:rsidTr="00F6286E">
        <w:tblPrEx>
          <w:tblLook w:val="0000" w:firstRow="0" w:lastRow="0" w:firstColumn="0" w:lastColumn="0" w:noHBand="0" w:noVBand="0"/>
        </w:tblPrEx>
        <w:trPr>
          <w:trHeight w:val="852"/>
        </w:trPr>
        <w:tc>
          <w:tcPr>
            <w:tcW w:w="8810" w:type="dxa"/>
            <w:gridSpan w:val="2"/>
          </w:tcPr>
          <w:p w:rsidR="00D70EFD" w:rsidRPr="00194D81" w:rsidRDefault="00D70EFD" w:rsidP="00EE5185">
            <w:pPr>
              <w:pStyle w:val="NormalWeb"/>
              <w:spacing w:line="360" w:lineRule="auto"/>
              <w:ind w:left="1134"/>
              <w:contextualSpacing/>
              <w:mirrorIndents/>
              <w:jc w:val="center"/>
              <w:rPr>
                <w:rFonts w:ascii="Arial" w:hAnsi="Arial" w:cs="Arial"/>
                <w:b/>
                <w:bCs/>
              </w:rPr>
            </w:pPr>
          </w:p>
          <w:p w:rsidR="00D70EFD" w:rsidRPr="00194D81" w:rsidRDefault="00D70EFD" w:rsidP="00EE5185">
            <w:pPr>
              <w:pStyle w:val="NormalWeb"/>
              <w:spacing w:line="360" w:lineRule="auto"/>
              <w:ind w:left="1134"/>
              <w:contextualSpacing/>
              <w:mirrorIndents/>
              <w:jc w:val="center"/>
              <w:rPr>
                <w:rFonts w:ascii="Arial" w:hAnsi="Arial" w:cs="Arial"/>
                <w:b/>
                <w:bCs/>
              </w:rPr>
            </w:pPr>
            <w:r w:rsidRPr="00194D81">
              <w:rPr>
                <w:rFonts w:ascii="Arial" w:hAnsi="Arial" w:cs="Arial"/>
                <w:b/>
                <w:bCs/>
              </w:rPr>
              <w:t>SECRETARIO GENERAL DE ACUERDOS</w:t>
            </w:r>
          </w:p>
          <w:p w:rsidR="00D70EFD" w:rsidRPr="00194D81" w:rsidRDefault="00D70EFD" w:rsidP="00EE5185">
            <w:pPr>
              <w:pStyle w:val="NormalWeb"/>
              <w:spacing w:line="360" w:lineRule="auto"/>
              <w:ind w:left="1134"/>
              <w:contextualSpacing/>
              <w:mirrorIndents/>
              <w:jc w:val="center"/>
              <w:rPr>
                <w:rFonts w:ascii="Arial" w:hAnsi="Arial" w:cs="Arial"/>
                <w:b/>
                <w:bCs/>
                <w:lang w:val="es-ES"/>
              </w:rPr>
            </w:pPr>
          </w:p>
          <w:p w:rsidR="00D70EFD" w:rsidRPr="00194D81" w:rsidRDefault="00D70EFD" w:rsidP="00EE5185">
            <w:pPr>
              <w:pStyle w:val="NormalWeb"/>
              <w:spacing w:line="360" w:lineRule="auto"/>
              <w:ind w:left="1134"/>
              <w:contextualSpacing/>
              <w:mirrorIndents/>
              <w:jc w:val="center"/>
              <w:rPr>
                <w:rFonts w:ascii="Arial" w:hAnsi="Arial" w:cs="Arial"/>
                <w:b/>
                <w:bCs/>
                <w:lang w:val="es-ES"/>
              </w:rPr>
            </w:pPr>
            <w:r w:rsidRPr="00194D81">
              <w:rPr>
                <w:rFonts w:ascii="Arial" w:hAnsi="Arial" w:cs="Arial"/>
                <w:b/>
                <w:bCs/>
                <w:lang w:val="es-ES"/>
              </w:rPr>
              <w:t>JESÚS OCIEL BAENA SAUCEDO</w:t>
            </w:r>
          </w:p>
        </w:tc>
      </w:tr>
      <w:bookmarkEnd w:id="0"/>
    </w:tbl>
    <w:p w:rsidR="00D70EFD" w:rsidRPr="00194D81" w:rsidRDefault="00D70EFD">
      <w:pPr>
        <w:rPr>
          <w:rFonts w:ascii="Arial" w:hAnsi="Arial" w:cs="Arial"/>
          <w:sz w:val="24"/>
          <w:szCs w:val="24"/>
        </w:rPr>
      </w:pPr>
    </w:p>
    <w:sectPr w:rsidR="00D70EFD" w:rsidRPr="00194D81" w:rsidSect="00F7553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20160" w:code="5"/>
      <w:pgMar w:top="3402" w:right="170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5C2" w:rsidRDefault="00BB05C2" w:rsidP="00D70EFD">
      <w:pPr>
        <w:spacing w:after="0" w:line="240" w:lineRule="auto"/>
      </w:pPr>
      <w:r>
        <w:separator/>
      </w:r>
    </w:p>
  </w:endnote>
  <w:endnote w:type="continuationSeparator" w:id="0">
    <w:p w:rsidR="00BB05C2" w:rsidRDefault="00BB05C2" w:rsidP="00D7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E" w:rsidRDefault="00925A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E" w:rsidRDefault="00925A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E" w:rsidRDefault="00925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5C2" w:rsidRDefault="00BB05C2" w:rsidP="00D70EFD">
      <w:pPr>
        <w:spacing w:after="0" w:line="240" w:lineRule="auto"/>
      </w:pPr>
      <w:r>
        <w:separator/>
      </w:r>
    </w:p>
  </w:footnote>
  <w:footnote w:type="continuationSeparator" w:id="0">
    <w:p w:rsidR="00BB05C2" w:rsidRDefault="00BB05C2" w:rsidP="00D70EFD">
      <w:pPr>
        <w:spacing w:after="0" w:line="240" w:lineRule="auto"/>
      </w:pPr>
      <w:r>
        <w:continuationSeparator/>
      </w:r>
    </w:p>
  </w:footnote>
  <w:footnote w:id="1">
    <w:p w:rsidR="002E403C" w:rsidRPr="002E403C" w:rsidRDefault="002E403C" w:rsidP="002E403C">
      <w:pPr>
        <w:spacing w:line="240" w:lineRule="auto"/>
        <w:ind w:left="-284" w:right="-283"/>
        <w:jc w:val="both"/>
        <w:rPr>
          <w:rFonts w:ascii="Arial" w:hAnsi="Arial" w:cs="Arial"/>
          <w:b/>
          <w:sz w:val="20"/>
          <w:szCs w:val="20"/>
        </w:rPr>
      </w:pPr>
      <w:r w:rsidRPr="002E403C">
        <w:rPr>
          <w:rStyle w:val="Refdenotaalpie"/>
          <w:rFonts w:ascii="Arial" w:hAnsi="Arial" w:cs="Arial"/>
          <w:sz w:val="20"/>
          <w:szCs w:val="20"/>
        </w:rPr>
        <w:footnoteRef/>
      </w:r>
      <w:r w:rsidRPr="002E403C">
        <w:rPr>
          <w:rFonts w:ascii="Arial" w:hAnsi="Arial" w:cs="Arial"/>
          <w:sz w:val="20"/>
          <w:szCs w:val="20"/>
        </w:rPr>
        <w:t xml:space="preserve"> Sirve de apoyo la jurisprudencia 23/2000 y 9/2001, de rubros: </w:t>
      </w:r>
      <w:r w:rsidRPr="002E403C">
        <w:rPr>
          <w:rFonts w:ascii="Arial" w:hAnsi="Arial" w:cs="Arial"/>
          <w:b/>
          <w:i/>
          <w:sz w:val="20"/>
          <w:szCs w:val="20"/>
        </w:rPr>
        <w:t>“DEFINITIVIDAD Y FIRMEZA CONSTITUYEN UN SOLO REQUISITO DE PROCEDIBILIDAD DEL JUICIO DE REVISIÓN CONSTITUCIONAL ELECTORAL” y “DEFINITIVIDAD Y FIRMEZA. SI EL AGOTAMIENTO DE LOS MEDIOS IMPUGNATIVOS ORDINARIOS IMPLICAN LA MERMA O EXTINCIÓN DE LA PRETENSIÓN DEL ACTOR, DEBE TENERSE POR CUMPLIDO EL REQUISITO.”</w:t>
      </w:r>
    </w:p>
    <w:p w:rsidR="002E403C" w:rsidRDefault="002E403C">
      <w:pPr>
        <w:pStyle w:val="Textonotapie"/>
      </w:pPr>
    </w:p>
  </w:footnote>
  <w:footnote w:id="2">
    <w:p w:rsidR="002D33EA" w:rsidRDefault="002D33EA" w:rsidP="002D33EA">
      <w:pPr>
        <w:pStyle w:val="Textonotapie"/>
      </w:pPr>
      <w:r>
        <w:rPr>
          <w:rStyle w:val="Refdenotaalpie"/>
        </w:rPr>
        <w:footnoteRef/>
      </w:r>
      <w:r>
        <w:t xml:space="preserve"> De conformidad con el artículo 49 del Estatuto de MORENA.</w:t>
      </w:r>
    </w:p>
  </w:footnote>
  <w:footnote w:id="3">
    <w:p w:rsidR="00F6286E" w:rsidRPr="00092C88" w:rsidRDefault="00F6286E" w:rsidP="007A19FA">
      <w:pPr>
        <w:pStyle w:val="Textonotapie"/>
        <w:jc w:val="both"/>
        <w:rPr>
          <w:rFonts w:ascii="Arial Nova" w:hAnsi="Arial Nova" w:cs="Arial"/>
          <w:sz w:val="16"/>
          <w:szCs w:val="16"/>
        </w:rPr>
      </w:pPr>
      <w:r w:rsidRPr="00092C88">
        <w:rPr>
          <w:rStyle w:val="Refdenotaalpie"/>
          <w:rFonts w:ascii="Arial Nova" w:hAnsi="Arial Nova" w:cs="Arial"/>
          <w:sz w:val="16"/>
          <w:szCs w:val="16"/>
        </w:rPr>
        <w:footnoteRef/>
      </w:r>
      <w:r w:rsidRPr="00092C88">
        <w:rPr>
          <w:rFonts w:ascii="Arial Nova" w:hAnsi="Arial Nova" w:cs="Arial"/>
          <w:sz w:val="16"/>
          <w:szCs w:val="16"/>
        </w:rPr>
        <w:t xml:space="preserve"> Consultable en la </w:t>
      </w:r>
      <w:hyperlink r:id="rId1" w:history="1">
        <w:r w:rsidRPr="00092C88">
          <w:rPr>
            <w:rStyle w:val="Hipervnculo"/>
            <w:rFonts w:ascii="Arial Nova" w:hAnsi="Arial Nova" w:cs="Arial"/>
            <w:sz w:val="16"/>
            <w:szCs w:val="16"/>
          </w:rPr>
          <w:t>http://sief.te.gob.mx/iuse/tesisjur.aspx?idtesis=5/2005&amp;tpoBusqueda=S&amp;sWord=5/2005</w:t>
        </w:r>
      </w:hyperlink>
    </w:p>
  </w:footnote>
  <w:footnote w:id="4">
    <w:p w:rsidR="00AB0672" w:rsidRPr="00F13AE5" w:rsidRDefault="00AB0672" w:rsidP="00AB0672">
      <w:pPr>
        <w:pStyle w:val="Textonotapie"/>
        <w:jc w:val="both"/>
        <w:rPr>
          <w:rFonts w:cs="Arial"/>
          <w:lang w:val="es-ES_tradnl"/>
        </w:rPr>
      </w:pPr>
      <w:r w:rsidRPr="00F13AE5">
        <w:rPr>
          <w:rStyle w:val="Refdenotaalpie"/>
        </w:rPr>
        <w:footnoteRef/>
      </w:r>
      <w:r w:rsidRPr="00F13AE5">
        <w:rPr>
          <w:rStyle w:val="Refdenotaalpie"/>
        </w:rPr>
        <w:t xml:space="preserve"> </w:t>
      </w:r>
      <w:r>
        <w:t xml:space="preserve">Véase </w:t>
      </w:r>
      <w:r w:rsidRPr="00F13AE5">
        <w:rPr>
          <w:rStyle w:val="Refdenotaalpie"/>
        </w:rPr>
        <w:t xml:space="preserve"> </w:t>
      </w:r>
      <w:r w:rsidRPr="00F13AE5">
        <w:rPr>
          <w:rFonts w:cs="Arial"/>
          <w:lang w:val="es-ES_tradnl"/>
        </w:rPr>
        <w:t>la jurisprudencia 9/2012, de rubro: "REENCAUZAMIENTO. EL ANÁLISIS DE LA PROCEDENCIA DEL MEDIO DE IMPUGNACIÓN CORRESPONDE A LA AUTORIDAD U ÓRGANO COM</w:t>
      </w:r>
      <w:r>
        <w:rPr>
          <w:rFonts w:cs="Arial"/>
          <w:lang w:val="es-ES_tradnl"/>
        </w:rPr>
        <w:t>P</w:t>
      </w:r>
      <w:r w:rsidRPr="00F13AE5">
        <w:rPr>
          <w:rFonts w:cs="Arial"/>
          <w:lang w:val="es-ES_tradnl"/>
        </w:rPr>
        <w:t>ETENTE, publicada en Gaceta de Jurisprudencia y Tesis en materia electoral, Tribunal Electoral del Poder Judicial de la Federación, año 5, número 10, 2012, pp. 34 y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E" w:rsidRDefault="00925A8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4313" o:spid="_x0000_s2050" type="#_x0000_t136" style="position:absolute;margin-left:0;margin-top:0;width:458.1pt;height:124.9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6E" w:rsidRDefault="00925A8E" w:rsidP="00F6286E">
    <w:pPr>
      <w:pStyle w:val="Encabezado"/>
      <w:jc w:val="center"/>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4314" o:spid="_x0000_s2051" type="#_x0000_t136" style="position:absolute;left:0;text-align:left;margin-left:0;margin-top:0;width:458.1pt;height:124.9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F6286E" w:rsidRPr="00A46BD3">
      <w:rPr>
        <w:rFonts w:ascii="Century Gothic" w:hAnsi="Century Gothic"/>
        <w:noProof/>
      </w:rPr>
      <w:drawing>
        <wp:anchor distT="0" distB="0" distL="114300" distR="114300" simplePos="0" relativeHeight="251660288" behindDoc="0" locked="0" layoutInCell="1" allowOverlap="1" wp14:anchorId="0D4876E7" wp14:editId="30064413">
          <wp:simplePos x="0" y="0"/>
          <wp:positionH relativeFrom="margin">
            <wp:posOffset>-203835</wp:posOffset>
          </wp:positionH>
          <wp:positionV relativeFrom="paragraph">
            <wp:posOffset>4445</wp:posOffset>
          </wp:positionV>
          <wp:extent cx="1180011" cy="1404745"/>
          <wp:effectExtent l="0" t="0" r="127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00F6286E">
      <w:rPr>
        <w:rFonts w:ascii="Arial" w:hAnsi="Arial" w:cs="Arial"/>
        <w:b/>
        <w:sz w:val="18"/>
        <w:szCs w:val="18"/>
      </w:rPr>
      <w:t xml:space="preserve">                                                               </w:t>
    </w:r>
  </w:p>
  <w:p w:rsidR="00F6286E" w:rsidRDefault="00F6286E" w:rsidP="00F6286E">
    <w:pPr>
      <w:pStyle w:val="Encabezado"/>
      <w:jc w:val="center"/>
      <w:rPr>
        <w:rFonts w:ascii="Arial" w:hAnsi="Arial" w:cs="Arial"/>
        <w:b/>
        <w:sz w:val="18"/>
        <w:szCs w:val="18"/>
      </w:rPr>
    </w:pPr>
  </w:p>
  <w:p w:rsidR="00F6286E" w:rsidRPr="00A46BD3" w:rsidRDefault="00BB05C2" w:rsidP="00F6286E">
    <w:pPr>
      <w:pStyle w:val="Encabezado"/>
      <w:rPr>
        <w:rFonts w:ascii="Century Gothic" w:hAnsi="Century Gothic"/>
      </w:rPr>
    </w:pPr>
    <w:sdt>
      <w:sdtPr>
        <w:rPr>
          <w:rFonts w:ascii="Century Gothic" w:hAnsi="Century Gothic"/>
        </w:rPr>
        <w:id w:val="1686086223"/>
        <w:docPartObj>
          <w:docPartGallery w:val="Page Numbers (Margins)"/>
          <w:docPartUnique/>
        </w:docPartObj>
      </w:sdtPr>
      <w:sdtEndPr/>
      <w:sdtContent>
        <w:r w:rsidR="00F6286E" w:rsidRPr="00932419">
          <w:rPr>
            <w:rFonts w:ascii="Century Gothic" w:hAnsi="Century Gothic"/>
            <w:noProof/>
          </w:rPr>
          <mc:AlternateContent>
            <mc:Choice Requires="wps">
              <w:drawing>
                <wp:anchor distT="0" distB="0" distL="114300" distR="114300" simplePos="0" relativeHeight="251659264" behindDoc="0" locked="0" layoutInCell="0" allowOverlap="1" wp14:anchorId="7B6E63AA" wp14:editId="54F27DFF">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442192219"/>
                                <w:docPartObj>
                                  <w:docPartGallery w:val="Page Numbers (Margins)"/>
                                  <w:docPartUnique/>
                                </w:docPartObj>
                              </w:sdtPr>
                              <w:sdtEndPr/>
                              <w:sdtContent>
                                <w:p w:rsidR="00F6286E" w:rsidRPr="00932419" w:rsidRDefault="00F6286E">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2E28EC">
                                    <w:rPr>
                                      <w:rFonts w:ascii="Century Gothic" w:eastAsiaTheme="majorEastAsia" w:hAnsi="Century Gothic" w:cstheme="majorBidi"/>
                                      <w:b/>
                                      <w:noProof/>
                                      <w:sz w:val="48"/>
                                      <w:szCs w:val="48"/>
                                      <w:lang w:val="es-ES"/>
                                    </w:rPr>
                                    <w:t>6</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63AA"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442192219"/>
                          <w:docPartObj>
                            <w:docPartGallery w:val="Page Numbers (Margins)"/>
                            <w:docPartUnique/>
                          </w:docPartObj>
                        </w:sdtPr>
                        <w:sdtEndPr/>
                        <w:sdtContent>
                          <w:p w:rsidR="00F6286E" w:rsidRPr="00932419" w:rsidRDefault="00F6286E">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2E28EC">
                              <w:rPr>
                                <w:rFonts w:ascii="Century Gothic" w:eastAsiaTheme="majorEastAsia" w:hAnsi="Century Gothic" w:cstheme="majorBidi"/>
                                <w:b/>
                                <w:noProof/>
                                <w:sz w:val="48"/>
                                <w:szCs w:val="48"/>
                                <w:lang w:val="es-ES"/>
                              </w:rPr>
                              <w:t>6</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E" w:rsidRDefault="00925A8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4312" o:spid="_x0000_s2049" type="#_x0000_t136" style="position:absolute;margin-left:0;margin-top:0;width:458.1pt;height:124.9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D33E6"/>
    <w:multiLevelType w:val="hybridMultilevel"/>
    <w:tmpl w:val="7F8CC5B8"/>
    <w:lvl w:ilvl="0" w:tplc="A9EE8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6C0B19"/>
    <w:multiLevelType w:val="hybridMultilevel"/>
    <w:tmpl w:val="E4764804"/>
    <w:lvl w:ilvl="0" w:tplc="2644751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D1571D1"/>
    <w:multiLevelType w:val="multilevel"/>
    <w:tmpl w:val="8A7E84C6"/>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145"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536D41EC"/>
    <w:multiLevelType w:val="hybridMultilevel"/>
    <w:tmpl w:val="2DA2018E"/>
    <w:lvl w:ilvl="0" w:tplc="9B00F82A">
      <w:start w:val="1"/>
      <w:numFmt w:val="upperLetter"/>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4" w15:restartNumberingAfterBreak="0">
    <w:nsid w:val="53F5352B"/>
    <w:multiLevelType w:val="hybridMultilevel"/>
    <w:tmpl w:val="0FE6419E"/>
    <w:lvl w:ilvl="0" w:tplc="B08A12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122BC5"/>
    <w:multiLevelType w:val="hybridMultilevel"/>
    <w:tmpl w:val="A216B47C"/>
    <w:lvl w:ilvl="0" w:tplc="8B50F58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mirrorMargins/>
  <w:proofState w:spelling="clean" w:grammar="clean"/>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D"/>
    <w:rsid w:val="0002628C"/>
    <w:rsid w:val="000347FB"/>
    <w:rsid w:val="00035F49"/>
    <w:rsid w:val="00092C88"/>
    <w:rsid w:val="000A0CB5"/>
    <w:rsid w:val="000B2EEB"/>
    <w:rsid w:val="000D02A2"/>
    <w:rsid w:val="000D5F94"/>
    <w:rsid w:val="000E5E6F"/>
    <w:rsid w:val="000F6EFE"/>
    <w:rsid w:val="00112AFE"/>
    <w:rsid w:val="00160CE3"/>
    <w:rsid w:val="00165394"/>
    <w:rsid w:val="001653F8"/>
    <w:rsid w:val="00167082"/>
    <w:rsid w:val="00194D81"/>
    <w:rsid w:val="00196C42"/>
    <w:rsid w:val="001D1548"/>
    <w:rsid w:val="001E4CA3"/>
    <w:rsid w:val="00205533"/>
    <w:rsid w:val="002251C7"/>
    <w:rsid w:val="00241E71"/>
    <w:rsid w:val="00255091"/>
    <w:rsid w:val="002638B8"/>
    <w:rsid w:val="00292561"/>
    <w:rsid w:val="002B2D5E"/>
    <w:rsid w:val="002D33EA"/>
    <w:rsid w:val="002E403C"/>
    <w:rsid w:val="00320DD9"/>
    <w:rsid w:val="00342BC0"/>
    <w:rsid w:val="00355BB1"/>
    <w:rsid w:val="00357EC3"/>
    <w:rsid w:val="0037497F"/>
    <w:rsid w:val="003F0104"/>
    <w:rsid w:val="004045F6"/>
    <w:rsid w:val="00404822"/>
    <w:rsid w:val="004065E0"/>
    <w:rsid w:val="004210D6"/>
    <w:rsid w:val="00443080"/>
    <w:rsid w:val="0049457B"/>
    <w:rsid w:val="004A489A"/>
    <w:rsid w:val="004C4847"/>
    <w:rsid w:val="00516B90"/>
    <w:rsid w:val="00523740"/>
    <w:rsid w:val="00552D15"/>
    <w:rsid w:val="00557371"/>
    <w:rsid w:val="00575F01"/>
    <w:rsid w:val="005B1EE6"/>
    <w:rsid w:val="005D5B7F"/>
    <w:rsid w:val="00673A43"/>
    <w:rsid w:val="006B7E06"/>
    <w:rsid w:val="006E26EE"/>
    <w:rsid w:val="00713170"/>
    <w:rsid w:val="0073386C"/>
    <w:rsid w:val="00761AE0"/>
    <w:rsid w:val="007A19FA"/>
    <w:rsid w:val="007A6BFA"/>
    <w:rsid w:val="00803AB8"/>
    <w:rsid w:val="0083556F"/>
    <w:rsid w:val="00842A85"/>
    <w:rsid w:val="0084795A"/>
    <w:rsid w:val="008838A5"/>
    <w:rsid w:val="008D13EE"/>
    <w:rsid w:val="008D30B8"/>
    <w:rsid w:val="008E51C8"/>
    <w:rsid w:val="008F2BF9"/>
    <w:rsid w:val="00902B9D"/>
    <w:rsid w:val="00925A8E"/>
    <w:rsid w:val="00966927"/>
    <w:rsid w:val="009F176A"/>
    <w:rsid w:val="00A20100"/>
    <w:rsid w:val="00A2236E"/>
    <w:rsid w:val="00A4266D"/>
    <w:rsid w:val="00A5769E"/>
    <w:rsid w:val="00A70DB1"/>
    <w:rsid w:val="00AA33D4"/>
    <w:rsid w:val="00AB0672"/>
    <w:rsid w:val="00AD4D4D"/>
    <w:rsid w:val="00AE4189"/>
    <w:rsid w:val="00B5201C"/>
    <w:rsid w:val="00B71BF7"/>
    <w:rsid w:val="00B95E0C"/>
    <w:rsid w:val="00BA0439"/>
    <w:rsid w:val="00BB05C2"/>
    <w:rsid w:val="00BB6379"/>
    <w:rsid w:val="00BD7345"/>
    <w:rsid w:val="00BE54CA"/>
    <w:rsid w:val="00C572E0"/>
    <w:rsid w:val="00C80EE1"/>
    <w:rsid w:val="00C82A41"/>
    <w:rsid w:val="00CB4717"/>
    <w:rsid w:val="00CC4A1E"/>
    <w:rsid w:val="00D36499"/>
    <w:rsid w:val="00D61017"/>
    <w:rsid w:val="00D70EFD"/>
    <w:rsid w:val="00D85F3B"/>
    <w:rsid w:val="00D90F29"/>
    <w:rsid w:val="00DA332E"/>
    <w:rsid w:val="00DB048C"/>
    <w:rsid w:val="00DB15CE"/>
    <w:rsid w:val="00DD0AB4"/>
    <w:rsid w:val="00DD469D"/>
    <w:rsid w:val="00DD5A1D"/>
    <w:rsid w:val="00DF0C60"/>
    <w:rsid w:val="00E02D1C"/>
    <w:rsid w:val="00E06A07"/>
    <w:rsid w:val="00E157D2"/>
    <w:rsid w:val="00EC5A13"/>
    <w:rsid w:val="00EE3D1C"/>
    <w:rsid w:val="00EE5185"/>
    <w:rsid w:val="00F35A2D"/>
    <w:rsid w:val="00F53837"/>
    <w:rsid w:val="00F6286E"/>
    <w:rsid w:val="00F75536"/>
    <w:rsid w:val="00F9289F"/>
    <w:rsid w:val="00F94BAF"/>
    <w:rsid w:val="00FB074B"/>
    <w:rsid w:val="00FD4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0A28BA7-B9AF-45DE-A6C8-7AC99D7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EFD"/>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EFD"/>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D70EFD"/>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D70EF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70EFD"/>
    <w:rPr>
      <w:color w:val="0563C1" w:themeColor="hyperlink"/>
      <w:u w:val="single"/>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nhideWhenUsed/>
    <w:qFormat/>
    <w:rsid w:val="00D70EFD"/>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rsid w:val="00D70EFD"/>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uiPriority w:val="99"/>
    <w:unhideWhenUsed/>
    <w:qFormat/>
    <w:rsid w:val="00D70EFD"/>
    <w:rPr>
      <w:vertAlign w:val="superscript"/>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70EFD"/>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D70EF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653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394"/>
    <w:rPr>
      <w:rFonts w:eastAsiaTheme="minorEastAsia"/>
      <w:lang w:eastAsia="es-MX"/>
    </w:rPr>
  </w:style>
  <w:style w:type="character" w:styleId="Mencinsinresolver">
    <w:name w:val="Unresolved Mention"/>
    <w:basedOn w:val="Fuentedeprrafopredeter"/>
    <w:uiPriority w:val="99"/>
    <w:semiHidden/>
    <w:unhideWhenUsed/>
    <w:rsid w:val="002B2D5E"/>
    <w:rPr>
      <w:color w:val="605E5C"/>
      <w:shd w:val="clear" w:color="auto" w:fill="E1DFDD"/>
    </w:rPr>
  </w:style>
  <w:style w:type="paragraph" w:styleId="Textoindependiente">
    <w:name w:val="Body Text"/>
    <w:basedOn w:val="Normal"/>
    <w:link w:val="TextoindependienteCar"/>
    <w:uiPriority w:val="1"/>
    <w:qFormat/>
    <w:rsid w:val="002B2D5E"/>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2B2D5E"/>
    <w:rPr>
      <w:rFonts w:ascii="Arial" w:eastAsia="Arial" w:hAnsi="Arial" w:cs="Arial"/>
      <w:sz w:val="28"/>
      <w:szCs w:val="28"/>
      <w:lang w:val="en-US"/>
    </w:rPr>
  </w:style>
  <w:style w:type="paragraph" w:styleId="Textodeglobo">
    <w:name w:val="Balloon Text"/>
    <w:basedOn w:val="Normal"/>
    <w:link w:val="TextodegloboCar"/>
    <w:uiPriority w:val="99"/>
    <w:semiHidden/>
    <w:unhideWhenUsed/>
    <w:rsid w:val="00D36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499"/>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nacnhj@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ef.te.gob.mx/iuse/tesisjur.aspx?idtesis=5/2005&amp;tpoBusqueda=S&amp;sWord=5/20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A05E-97C4-44AA-9DEC-2EA99192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jose castro vieyra</cp:lastModifiedBy>
  <cp:revision>3</cp:revision>
  <cp:lastPrinted>2019-03-14T03:42:00Z</cp:lastPrinted>
  <dcterms:created xsi:type="dcterms:W3CDTF">2019-03-14T17:10:00Z</dcterms:created>
  <dcterms:modified xsi:type="dcterms:W3CDTF">2019-03-14T17:12:00Z</dcterms:modified>
</cp:coreProperties>
</file>